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3B6B" w14:textId="0C5F8376" w:rsidR="00D840ED" w:rsidRPr="00D840ED" w:rsidRDefault="00E93CB4" w:rsidP="00D840ED">
      <w:r>
        <w:rPr>
          <w:bCs/>
          <w:noProof/>
          <w:sz w:val="52"/>
          <w:szCs w:val="52"/>
          <w:lang w:val="en-US"/>
        </w:rPr>
        <w:drawing>
          <wp:anchor distT="0" distB="0" distL="114300" distR="114300" simplePos="0" relativeHeight="251660288" behindDoc="0" locked="0" layoutInCell="1" allowOverlap="1" wp14:anchorId="4742FE83" wp14:editId="20B413BF">
            <wp:simplePos x="0" y="0"/>
            <wp:positionH relativeFrom="page">
              <wp:posOffset>457200</wp:posOffset>
            </wp:positionH>
            <wp:positionV relativeFrom="page">
              <wp:posOffset>9915525</wp:posOffset>
            </wp:positionV>
            <wp:extent cx="918000" cy="320400"/>
            <wp:effectExtent l="0" t="0" r="0" b="3810"/>
            <wp:wrapNone/>
            <wp:docPr id="1" name="Picture 1" descr="A black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logo&#10;&#10;Description automatically generated with low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8000" cy="320400"/>
                    </a:xfrm>
                    <a:prstGeom prst="rect">
                      <a:avLst/>
                    </a:prstGeom>
                  </pic:spPr>
                </pic:pic>
              </a:graphicData>
            </a:graphic>
            <wp14:sizeRelH relativeFrom="margin">
              <wp14:pctWidth>0</wp14:pctWidth>
            </wp14:sizeRelH>
            <wp14:sizeRelV relativeFrom="margin">
              <wp14:pctHeight>0</wp14:pctHeight>
            </wp14:sizeRelV>
          </wp:anchor>
        </w:drawing>
      </w:r>
      <w:r w:rsidR="00D840ED" w:rsidRPr="00D840ED">
        <w:rPr>
          <w:noProof/>
          <w:lang w:val="en-US"/>
        </w:rPr>
        <w:drawing>
          <wp:anchor distT="0" distB="0" distL="114300" distR="114300" simplePos="0" relativeHeight="251658240" behindDoc="1" locked="1" layoutInCell="1" allowOverlap="1" wp14:anchorId="01312EC4" wp14:editId="621510BA">
            <wp:simplePos x="914400" y="914400"/>
            <wp:positionH relativeFrom="page">
              <wp:align>left</wp:align>
            </wp:positionH>
            <wp:positionV relativeFrom="page">
              <wp:align>top</wp:align>
            </wp:positionV>
            <wp:extent cx="7539990" cy="10666095"/>
            <wp:effectExtent l="0" t="0" r="381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7540624" cy="10666336"/>
                    </a:xfrm>
                    <a:prstGeom prst="rect">
                      <a:avLst/>
                    </a:prstGeom>
                  </pic:spPr>
                </pic:pic>
              </a:graphicData>
            </a:graphic>
            <wp14:sizeRelH relativeFrom="margin">
              <wp14:pctWidth>0</wp14:pctWidth>
            </wp14:sizeRelH>
            <wp14:sizeRelV relativeFrom="margin">
              <wp14:pctHeight>0</wp14:pctHeight>
            </wp14:sizeRelV>
          </wp:anchor>
        </w:drawing>
      </w:r>
    </w:p>
    <w:p w14:paraId="22899913" w14:textId="77777777" w:rsidR="00D840ED" w:rsidRPr="00D840ED" w:rsidRDefault="00D840ED" w:rsidP="00D840ED"/>
    <w:p w14:paraId="1B1F858C" w14:textId="77777777" w:rsidR="00D840ED" w:rsidRPr="00D840ED" w:rsidRDefault="00D840ED" w:rsidP="00D840ED"/>
    <w:p w14:paraId="4653274A" w14:textId="77777777" w:rsidR="00D840ED" w:rsidRPr="00D840ED" w:rsidRDefault="00D840ED" w:rsidP="00D840ED"/>
    <w:p w14:paraId="323F3485" w14:textId="24056D7F" w:rsidR="00D840ED" w:rsidRDefault="00D840ED" w:rsidP="00D840ED"/>
    <w:p w14:paraId="7F46646B" w14:textId="0CF2057D" w:rsidR="00D840ED" w:rsidRDefault="00D840ED" w:rsidP="00D840ED"/>
    <w:p w14:paraId="3BC953D1" w14:textId="35A156BD" w:rsidR="00523691" w:rsidRDefault="00523691" w:rsidP="00D840ED"/>
    <w:p w14:paraId="1218D51B" w14:textId="29C28D63" w:rsidR="00523691" w:rsidRDefault="00523691" w:rsidP="00D840ED"/>
    <w:p w14:paraId="27B6D327" w14:textId="1DAFB23F" w:rsidR="004F23F4" w:rsidRDefault="00E70954" w:rsidP="00D840ED">
      <w:r>
        <w:br/>
      </w:r>
    </w:p>
    <w:p w14:paraId="1FA72928" w14:textId="5A31A8CC" w:rsidR="00523691" w:rsidRPr="00854B34" w:rsidRDefault="00012C6B" w:rsidP="00523691">
      <w:pPr>
        <w:pStyle w:val="Title"/>
        <w:rPr>
          <w:sz w:val="64"/>
          <w:szCs w:val="64"/>
        </w:rPr>
      </w:pPr>
      <w:r w:rsidRPr="00854B34">
        <w:rPr>
          <w:sz w:val="64"/>
          <w:szCs w:val="64"/>
        </w:rPr>
        <w:t>Maturity Matrix for</w:t>
      </w:r>
      <w:r w:rsidR="00523691" w:rsidRPr="00854B34">
        <w:rPr>
          <w:sz w:val="64"/>
          <w:szCs w:val="64"/>
        </w:rPr>
        <w:t xml:space="preserve"> </w:t>
      </w:r>
      <w:r w:rsidR="00523691" w:rsidRPr="00854B34">
        <w:rPr>
          <w:sz w:val="64"/>
          <w:szCs w:val="64"/>
        </w:rPr>
        <w:br/>
      </w:r>
      <w:r w:rsidRPr="00854B34">
        <w:rPr>
          <w:sz w:val="64"/>
          <w:szCs w:val="64"/>
        </w:rPr>
        <w:t xml:space="preserve">Research </w:t>
      </w:r>
      <w:r w:rsidR="00B27E7E">
        <w:rPr>
          <w:sz w:val="64"/>
          <w:szCs w:val="64"/>
        </w:rPr>
        <w:t>Funding</w:t>
      </w:r>
      <w:r w:rsidRPr="00854B34">
        <w:rPr>
          <w:sz w:val="64"/>
          <w:szCs w:val="64"/>
        </w:rPr>
        <w:t xml:space="preserve"> Organisations</w:t>
      </w:r>
    </w:p>
    <w:p w14:paraId="22C1F3E1" w14:textId="6E409B5A" w:rsidR="00681EE4" w:rsidRDefault="00854B34" w:rsidP="00E70954">
      <w:r>
        <w:br/>
      </w:r>
      <w:r>
        <w:br/>
      </w:r>
    </w:p>
    <w:p w14:paraId="21BDB6E1" w14:textId="061D8FD0" w:rsidR="00681EE4" w:rsidRDefault="00681EE4" w:rsidP="00E70954"/>
    <w:p w14:paraId="3722C946" w14:textId="562CDEF7" w:rsidR="00681EE4" w:rsidRDefault="00681EE4" w:rsidP="00E70954"/>
    <w:p w14:paraId="58F4DA09" w14:textId="2404BB13" w:rsidR="00D840ED" w:rsidRDefault="00FE28E8" w:rsidP="00E70954">
      <w:r>
        <w:br/>
      </w:r>
    </w:p>
    <w:p w14:paraId="56847384" w14:textId="27C1F04F" w:rsidR="00681EE4" w:rsidRPr="00D840ED" w:rsidRDefault="00681EE4" w:rsidP="00D840ED">
      <w:pPr>
        <w:pStyle w:val="Subtitle"/>
        <w:rPr>
          <w:rFonts w:asciiTheme="majorHAnsi" w:hAnsiTheme="majorHAnsi" w:cstheme="majorHAnsi"/>
          <w:b w:val="0"/>
          <w:bCs/>
          <w:sz w:val="36"/>
          <w:szCs w:val="36"/>
        </w:rPr>
      </w:pPr>
      <w:r w:rsidRPr="00D840ED">
        <w:rPr>
          <w:rFonts w:asciiTheme="majorHAnsi" w:hAnsiTheme="majorHAnsi" w:cstheme="majorHAnsi"/>
          <w:b w:val="0"/>
          <w:bCs/>
          <w:sz w:val="32"/>
          <w:szCs w:val="32"/>
        </w:rPr>
        <w:t>TEMPLATE FROM THE SCIENCE EUROPE PRACTICAL GUIDE TO</w:t>
      </w:r>
    </w:p>
    <w:p w14:paraId="65CA6660" w14:textId="78E68E94" w:rsidR="00681EE4" w:rsidRPr="00681EE4" w:rsidRDefault="00012C6B" w:rsidP="00681EE4">
      <w:pPr>
        <w:pStyle w:val="Subtitle"/>
        <w:rPr>
          <w:bCs/>
          <w:sz w:val="52"/>
          <w:szCs w:val="52"/>
        </w:rPr>
      </w:pPr>
      <w:r>
        <w:rPr>
          <w:bCs/>
          <w:sz w:val="52"/>
          <w:szCs w:val="52"/>
        </w:rPr>
        <w:t>SUSTAINABLE RESEARCH DATA</w:t>
      </w:r>
    </w:p>
    <w:p w14:paraId="041E34B3" w14:textId="77777777" w:rsidR="00681EE4" w:rsidRDefault="00681EE4" w:rsidP="00681EE4"/>
    <w:p w14:paraId="6BEAE5E9" w14:textId="1CBFC611" w:rsidR="00681EE4" w:rsidRPr="00681EE4" w:rsidRDefault="00681EE4" w:rsidP="00681EE4">
      <w:pPr>
        <w:sectPr w:rsidR="00681EE4" w:rsidRPr="00681EE4" w:rsidSect="00B733D8">
          <w:headerReference w:type="even" r:id="rId10"/>
          <w:headerReference w:type="default" r:id="rId11"/>
          <w:footerReference w:type="default" r:id="rId12"/>
          <w:headerReference w:type="first" r:id="rId13"/>
          <w:pgSz w:w="11906" w:h="16838"/>
          <w:pgMar w:top="1440" w:right="1440" w:bottom="1440" w:left="1440" w:header="3231" w:footer="708" w:gutter="0"/>
          <w:cols w:space="708"/>
          <w:titlePg/>
          <w:docGrid w:linePitch="360"/>
        </w:sectPr>
      </w:pPr>
    </w:p>
    <w:p w14:paraId="5D0537C8" w14:textId="1DD8B99C" w:rsidR="00523691" w:rsidRPr="0002199D" w:rsidRDefault="005512BC" w:rsidP="00624038">
      <w:pPr>
        <w:pStyle w:val="Heading1"/>
      </w:pPr>
      <w:r w:rsidRPr="0002199D">
        <w:lastRenderedPageBreak/>
        <w:t xml:space="preserve">How to use </w:t>
      </w:r>
      <w:r w:rsidRPr="00624038">
        <w:t>the</w:t>
      </w:r>
      <w:r w:rsidRPr="0002199D">
        <w:t xml:space="preserve"> maturity matrices?</w:t>
      </w:r>
    </w:p>
    <w:p w14:paraId="24360B3F" w14:textId="77777777" w:rsidR="005512BC" w:rsidRDefault="005512BC" w:rsidP="00624038">
      <w:r>
        <w:t>This guidance is designed to support RPOs, RFOs, and RDIs in developing their agenda for research data</w:t>
      </w:r>
      <w:r w:rsidRPr="005E7B38">
        <w:t xml:space="preserve"> </w:t>
      </w:r>
      <w:r>
        <w:t>to achieve sustainable data sharing and interoperable systems. It takes the form of three complementary maturity matrices to allow collaboration with other organisations.</w:t>
      </w:r>
    </w:p>
    <w:p w14:paraId="48FF4AEF" w14:textId="77777777" w:rsidR="005512BC" w:rsidRDefault="005512BC" w:rsidP="00624038">
      <w:r>
        <w:t>The matrices present a framework and propose actions in six essential areas:</w:t>
      </w:r>
    </w:p>
    <w:p w14:paraId="04EA9369" w14:textId="77777777" w:rsidR="005512BC" w:rsidRDefault="005512BC" w:rsidP="00624038">
      <w:pPr>
        <w:pStyle w:val="ListItem-Bullet"/>
      </w:pPr>
      <w:r>
        <w:t>Organisational engagement and commitment</w:t>
      </w:r>
    </w:p>
    <w:p w14:paraId="3625DBCB" w14:textId="77777777" w:rsidR="005512BC" w:rsidRDefault="005512BC" w:rsidP="00624038">
      <w:pPr>
        <w:pStyle w:val="ListItem-Bullet"/>
      </w:pPr>
      <w:r>
        <w:t>Policy environment</w:t>
      </w:r>
    </w:p>
    <w:p w14:paraId="656DBA82" w14:textId="77777777" w:rsidR="005512BC" w:rsidRDefault="005512BC" w:rsidP="00624038">
      <w:pPr>
        <w:pStyle w:val="ListItem-Bullet"/>
      </w:pPr>
      <w:r>
        <w:t>Financial aspects</w:t>
      </w:r>
    </w:p>
    <w:p w14:paraId="3D98FD2B" w14:textId="77777777" w:rsidR="005512BC" w:rsidRDefault="005512BC" w:rsidP="00624038">
      <w:pPr>
        <w:pStyle w:val="ListItem-Bullet"/>
      </w:pPr>
      <w:r>
        <w:t>Training</w:t>
      </w:r>
    </w:p>
    <w:p w14:paraId="313542B3" w14:textId="77777777" w:rsidR="005512BC" w:rsidRDefault="005512BC" w:rsidP="00624038">
      <w:pPr>
        <w:pStyle w:val="ListItem-Bullet"/>
      </w:pPr>
      <w:r>
        <w:t>Technical preparedness</w:t>
      </w:r>
    </w:p>
    <w:p w14:paraId="634C8BF7" w14:textId="77777777" w:rsidR="005512BC" w:rsidRDefault="005512BC" w:rsidP="00624038">
      <w:pPr>
        <w:pStyle w:val="ListItem-Bullet"/>
      </w:pPr>
      <w:r>
        <w:t>Communication and awareness raising</w:t>
      </w:r>
    </w:p>
    <w:p w14:paraId="1518F86F" w14:textId="27C77445" w:rsidR="005512BC" w:rsidRDefault="005512BC" w:rsidP="00624038">
      <w:r>
        <w:t>These areas were defined following discussions among the experts from the Science Europe’s WG DSSI, based on their experience and expertise, and extensive desk research. The areas were discussed and validated both by the WG DSSI and during a validation workshop with external experts.</w:t>
      </w:r>
    </w:p>
    <w:p w14:paraId="79FF7524" w14:textId="77777777" w:rsidR="005512BC" w:rsidRPr="0002199D" w:rsidRDefault="005512BC" w:rsidP="00624038">
      <w:pPr>
        <w:pStyle w:val="Heading2"/>
      </w:pPr>
      <w:r w:rsidRPr="0002199D">
        <w:t>Goal-setting Depending on Strategic Priorities, Missions, Mandates and Needs</w:t>
      </w:r>
    </w:p>
    <w:p w14:paraId="583DD678" w14:textId="77777777" w:rsidR="005512BC" w:rsidRDefault="005512BC" w:rsidP="00624038">
      <w:r>
        <w:t xml:space="preserve">The matrices allow organisations to assess their own situation in relation to the six areas and to plan their next steps according to their organisational strategic priorities, mission, mandates, and needs. The matrices can also be used to compare actions, set collaborations, and/or seek and monitor alignment with other organisations. The interpretation and the application of the matrices may vary depending on internal organisational policies and needs, and/or on external factors ruling data management. </w:t>
      </w:r>
    </w:p>
    <w:p w14:paraId="5759A51D" w14:textId="77777777" w:rsidR="005512BC" w:rsidRDefault="005512BC" w:rsidP="00624038">
      <w:r>
        <w:t xml:space="preserve">To assess its state of development towards sustainable research data, an organisation needs to consider its respective matrix as a whole. It should be seen as a guide for progressive development, starting with the first step for each area, ideally completing all actions proposed under one step before moving to the next one. It is, however, acknowledged that there will be cases of organisations that have reached higher progression steps without having completed all actions of the previous steps. </w:t>
      </w:r>
    </w:p>
    <w:p w14:paraId="25203C7A" w14:textId="77777777" w:rsidR="005512BC" w:rsidRDefault="005512BC" w:rsidP="00624038">
      <w:r w:rsidRPr="2EB801B3">
        <w:t xml:space="preserve">Organisations might find that they are more advanced </w:t>
      </w:r>
      <w:r>
        <w:t>i</w:t>
      </w:r>
      <w:r w:rsidRPr="2EB801B3">
        <w:t xml:space="preserve">n certain areas than in others. </w:t>
      </w:r>
      <w:r>
        <w:t xml:space="preserve">Depending on their organisational mission, strategic goals, and mandate, organisations will need to define which level they want to achieve in any given area. Not every organisation will have to reach the highest maturity level in all areas as certain actions may not be within the remit of their mission or mandate. </w:t>
      </w:r>
      <w:r w:rsidRPr="2EB801B3">
        <w:t>Therefore, the potential next step needs to be defined for each area individually and in line with each organisation’s strategic goals.</w:t>
      </w:r>
      <w:r w:rsidRPr="2EB801B3">
        <w:rPr>
          <w:rStyle w:val="EndnoteReference"/>
          <w:rFonts w:eastAsiaTheme="minorEastAsia"/>
        </w:rPr>
        <w:endnoteReference w:id="1"/>
      </w:r>
      <w:r w:rsidRPr="2EB801B3">
        <w:t xml:space="preserve"> </w:t>
      </w:r>
      <w:r>
        <w:t>Some organisations may take on a driving role in a specific area, setting standards and leading policy developments, while others might have different priorities and could contribute to these efforts with expertise without having to take the lead. As the level of maturity advances</w:t>
      </w:r>
      <w:r w:rsidRPr="2EB801B3">
        <w:t xml:space="preserve">, the level of collaboration with other </w:t>
      </w:r>
      <w:r>
        <w:t>RFOs, RPOs, RDIs, or other stakeholders</w:t>
      </w:r>
      <w:r w:rsidRPr="2EB801B3">
        <w:t xml:space="preserve"> will also increase. </w:t>
      </w:r>
    </w:p>
    <w:p w14:paraId="3C82D26F" w14:textId="77777777" w:rsidR="005512BC" w:rsidRDefault="005512BC">
      <w:pPr>
        <w:spacing w:after="160" w:line="259" w:lineRule="auto"/>
        <w:jc w:val="left"/>
        <w:rPr>
          <w:rFonts w:asciiTheme="majorHAnsi" w:eastAsiaTheme="majorEastAsia" w:hAnsiTheme="majorHAnsi" w:cstheme="majorBidi"/>
          <w:b/>
          <w:color w:val="45AC34"/>
          <w:sz w:val="26"/>
          <w:szCs w:val="26"/>
        </w:rPr>
      </w:pPr>
      <w:r>
        <w:br w:type="page"/>
      </w:r>
    </w:p>
    <w:p w14:paraId="60BCE039" w14:textId="7D22D643" w:rsidR="005512BC" w:rsidRPr="0002199D" w:rsidRDefault="005512BC" w:rsidP="00624038">
      <w:pPr>
        <w:pStyle w:val="Heading2"/>
      </w:pPr>
      <w:r w:rsidRPr="0002199D">
        <w:lastRenderedPageBreak/>
        <w:t xml:space="preserve">Definitions of </w:t>
      </w:r>
      <w:r w:rsidRPr="00624038">
        <w:t>progression</w:t>
      </w:r>
      <w:r w:rsidRPr="0002199D">
        <w:t xml:space="preserve"> steps in the matrices</w:t>
      </w:r>
    </w:p>
    <w:p w14:paraId="48F2C49F" w14:textId="77777777" w:rsidR="005512BC" w:rsidRDefault="005512BC" w:rsidP="00624038">
      <w:r>
        <w:t xml:space="preserve">The matrices present three progression steps for each of the six key areas: </w:t>
      </w:r>
    </w:p>
    <w:p w14:paraId="246DE067" w14:textId="77777777" w:rsidR="005512BC" w:rsidRDefault="005512BC" w:rsidP="00624038">
      <w:pPr>
        <w:pStyle w:val="ListItem-Bullet"/>
      </w:pPr>
      <w:r w:rsidRPr="032F1EE9">
        <w:rPr>
          <w:b/>
          <w:bCs/>
        </w:rPr>
        <w:t>Plans to develop:</w:t>
      </w:r>
      <w:r>
        <w:t xml:space="preserve"> The organisation has acknowledged the need to take action in a given area and is developing/has developed plans on how to proceed.</w:t>
      </w:r>
    </w:p>
    <w:p w14:paraId="2646A4B0" w14:textId="77777777" w:rsidR="005512BC" w:rsidRDefault="005512BC" w:rsidP="00624038">
      <w:pPr>
        <w:pStyle w:val="ListItem-Bullet"/>
      </w:pPr>
      <w:r w:rsidRPr="032F1EE9">
        <w:rPr>
          <w:b/>
          <w:bCs/>
        </w:rPr>
        <w:t>Development ongoing:</w:t>
      </w:r>
      <w:r>
        <w:t xml:space="preserve"> The organisation has done the groundwork in a given area to achieve the sustainability of research data, though more refinement is needed.</w:t>
      </w:r>
    </w:p>
    <w:p w14:paraId="7F28C289" w14:textId="77777777" w:rsidR="005512BC" w:rsidRDefault="005512BC" w:rsidP="00624038">
      <w:pPr>
        <w:pStyle w:val="ListItem-Bullet"/>
      </w:pPr>
      <w:r w:rsidRPr="032F1EE9">
        <w:rPr>
          <w:b/>
          <w:bCs/>
        </w:rPr>
        <w:t>Developed on organisational level:</w:t>
      </w:r>
      <w:r>
        <w:t xml:space="preserve"> The respective area is addressed on a mature level within the organisation.</w:t>
      </w:r>
    </w:p>
    <w:p w14:paraId="59BBF05D" w14:textId="77777777" w:rsidR="005512BC" w:rsidRDefault="005512BC" w:rsidP="00624038">
      <w:r>
        <w:t xml:space="preserve">Organisations can identify which progression step they have reached in each area and which actions to undertake if they wish to progress on the journey towards sustainable research data. For many organisations, the step ‘Developed on organisational level’ will be the aspired final destination of their journey. </w:t>
      </w:r>
    </w:p>
    <w:p w14:paraId="1A00FD86" w14:textId="77777777" w:rsidR="005512BC" w:rsidRPr="005A41C7" w:rsidRDefault="005512BC" w:rsidP="00624038">
      <w:r>
        <w:t xml:space="preserve">Organisations that have reached this step and wish to advance even further will find additional guidance under </w:t>
      </w:r>
      <w:r w:rsidRPr="006F3710">
        <w:rPr>
          <w:b/>
          <w:bCs/>
        </w:rPr>
        <w:t>Further advancement and alignment</w:t>
      </w:r>
      <w:r>
        <w:rPr>
          <w:b/>
          <w:bCs/>
        </w:rPr>
        <w:t xml:space="preserve">. </w:t>
      </w:r>
      <w:r w:rsidRPr="004F47CA">
        <w:t xml:space="preserve">This </w:t>
      </w:r>
      <w:r>
        <w:t xml:space="preserve">part </w:t>
      </w:r>
      <w:r>
        <w:rPr>
          <w:bCs/>
        </w:rPr>
        <w:t>refers to organisational collaboration</w:t>
      </w:r>
      <w:r>
        <w:t xml:space="preserve"> with (inter)national partners in order to align approaches and achieve a level playing field (at a national or an international level, with different disciplines).</w:t>
      </w:r>
    </w:p>
    <w:p w14:paraId="330ABA13" w14:textId="77777777" w:rsidR="005512BC" w:rsidRPr="0002199D" w:rsidRDefault="005512BC" w:rsidP="00624038">
      <w:pPr>
        <w:pStyle w:val="Heading2"/>
      </w:pPr>
      <w:r w:rsidRPr="0002199D">
        <w:t>Definitions of the six areas in the matrices</w:t>
      </w:r>
    </w:p>
    <w:p w14:paraId="3D912DD0" w14:textId="77777777" w:rsidR="005512BC" w:rsidRDefault="005512BC" w:rsidP="00624038">
      <w:r>
        <w:t xml:space="preserve">The six areas in which each organisation should take action were defined along the following lines: </w:t>
      </w:r>
      <w:r w:rsidRPr="17C4946C">
        <w:t xml:space="preserve"> </w:t>
      </w:r>
    </w:p>
    <w:p w14:paraId="05976646" w14:textId="77777777" w:rsidR="005512BC" w:rsidRPr="003C0F29" w:rsidRDefault="005512BC" w:rsidP="00624038">
      <w:pPr>
        <w:pStyle w:val="Heading3"/>
      </w:pPr>
      <w:r w:rsidRPr="003C0F29">
        <w:t>Organisational engagement and commitment</w:t>
      </w:r>
    </w:p>
    <w:p w14:paraId="1C3B3983" w14:textId="77777777" w:rsidR="005512BC" w:rsidRPr="0050782B" w:rsidRDefault="005512BC" w:rsidP="00624038">
      <w:pPr>
        <w:pStyle w:val="ListItem-Bullet"/>
      </w:pPr>
      <w:r>
        <w:t>For all organisation types, this area refers to the o</w:t>
      </w:r>
      <w:r w:rsidRPr="00A64C61">
        <w:t xml:space="preserve">rganisation </w:t>
      </w:r>
      <w:r>
        <w:t xml:space="preserve">acknowledging the need </w:t>
      </w:r>
      <w:r w:rsidRPr="00A64C61">
        <w:t xml:space="preserve">to develop solutions for sustainable research data and </w:t>
      </w:r>
      <w:r>
        <w:t xml:space="preserve">being </w:t>
      </w:r>
      <w:r w:rsidRPr="00A64C61">
        <w:t xml:space="preserve">committed to seek alignment of approaches with other research </w:t>
      </w:r>
      <w:r>
        <w:t>stakeholders (such as RPOs, RFOs, RDIs, research communities)</w:t>
      </w:r>
      <w:r w:rsidRPr="00A64C61">
        <w:t>.</w:t>
      </w:r>
    </w:p>
    <w:p w14:paraId="271A2544" w14:textId="77777777" w:rsidR="005512BC" w:rsidRPr="003C0F29" w:rsidRDefault="005512BC" w:rsidP="00624038">
      <w:pPr>
        <w:pStyle w:val="Heading3"/>
      </w:pPr>
      <w:r w:rsidRPr="003C0F29">
        <w:t>Policy environment</w:t>
      </w:r>
    </w:p>
    <w:p w14:paraId="311470E7" w14:textId="77777777" w:rsidR="005512BC" w:rsidRPr="00624038" w:rsidRDefault="005512BC" w:rsidP="00624038">
      <w:pPr>
        <w:pStyle w:val="ListItem-Bullet"/>
        <w:numPr>
          <w:ilvl w:val="0"/>
          <w:numId w:val="35"/>
        </w:numPr>
        <w:rPr>
          <w:rFonts w:asciiTheme="minorEastAsia" w:hAnsiTheme="minorEastAsia" w:cstheme="minorEastAsia"/>
        </w:rPr>
      </w:pPr>
      <w:r>
        <w:t xml:space="preserve">For all organisation types, this refers to the organisation clarifying its </w:t>
      </w:r>
      <w:r w:rsidRPr="032F1EE9">
        <w:t>objectives</w:t>
      </w:r>
      <w:r>
        <w:t xml:space="preserve"> for data sustainability and interoperability</w:t>
      </w:r>
      <w:r w:rsidRPr="032F1EE9">
        <w:t xml:space="preserve"> and </w:t>
      </w:r>
      <w:r>
        <w:t>aiming at coherent</w:t>
      </w:r>
      <w:r w:rsidRPr="032F1EE9">
        <w:t xml:space="preserve"> policies for all types of organisations.</w:t>
      </w:r>
    </w:p>
    <w:p w14:paraId="783C2787" w14:textId="77777777" w:rsidR="005512BC" w:rsidRPr="00A64C61" w:rsidRDefault="005512BC" w:rsidP="00624038">
      <w:pPr>
        <w:pStyle w:val="ListItem-Bullet"/>
      </w:pPr>
      <w:r w:rsidRPr="69EE8894">
        <w:t xml:space="preserve">For RFOs, this area </w:t>
      </w:r>
      <w:r>
        <w:t>will cover a range of issues related to RDM that reflect the way of working of the RFO, such as support for RDM infrastructure and/or training. The actual design of the organisational policy will depend on the mission of the RFO and the mandate it has in its national context.</w:t>
      </w:r>
    </w:p>
    <w:p w14:paraId="36C56F8A" w14:textId="77777777" w:rsidR="005512BC" w:rsidRPr="00A64C61" w:rsidRDefault="005512BC" w:rsidP="00624038">
      <w:pPr>
        <w:pStyle w:val="ListItem-Bullet"/>
      </w:pPr>
      <w:r w:rsidRPr="00A64C61">
        <w:rPr>
          <w:iCs/>
        </w:rPr>
        <w:t xml:space="preserve">For RPOs, this area refers to principles and practices on RDM established by the RPO </w:t>
      </w:r>
      <w:r>
        <w:rPr>
          <w:iCs/>
        </w:rPr>
        <w:t xml:space="preserve">and </w:t>
      </w:r>
      <w:r w:rsidRPr="00A64C61">
        <w:rPr>
          <w:iCs/>
        </w:rPr>
        <w:t>to be followed by its researchers. The RPO will seek to provide the necessary support to its researchers.</w:t>
      </w:r>
    </w:p>
    <w:p w14:paraId="4F54C099" w14:textId="77777777" w:rsidR="005512BC" w:rsidRPr="0050782B" w:rsidRDefault="005512BC" w:rsidP="00624038">
      <w:pPr>
        <w:pStyle w:val="ListItem-Bullet"/>
      </w:pPr>
      <w:r>
        <w:t>For RDIs, this area refers to principles and practices on RDM. These include services for researchers and take into account, where needed, disciplinary differences.</w:t>
      </w:r>
    </w:p>
    <w:p w14:paraId="016D81A8" w14:textId="77777777" w:rsidR="005512BC" w:rsidRPr="00753A90" w:rsidRDefault="005512BC" w:rsidP="00624038">
      <w:pPr>
        <w:pStyle w:val="Heading3"/>
      </w:pPr>
      <w:r w:rsidRPr="00753A90">
        <w:t>Financial aspects</w:t>
      </w:r>
    </w:p>
    <w:p w14:paraId="6113B5DD" w14:textId="77777777" w:rsidR="005512BC" w:rsidRPr="00A64C61" w:rsidRDefault="005512BC" w:rsidP="00624038">
      <w:pPr>
        <w:pStyle w:val="ListItem-Bullet"/>
        <w:rPr>
          <w:rFonts w:eastAsiaTheme="minorEastAsia"/>
        </w:rPr>
      </w:pPr>
      <w:r>
        <w:t>For RFOs, this area relates to funding of and investment in RDM and RDIs.</w:t>
      </w:r>
    </w:p>
    <w:p w14:paraId="4C34C317" w14:textId="77777777" w:rsidR="005512BC" w:rsidRPr="00A64C61" w:rsidRDefault="005512BC" w:rsidP="00624038">
      <w:pPr>
        <w:pStyle w:val="ListItem-Bullet"/>
        <w:rPr>
          <w:rFonts w:eastAsiaTheme="minorEastAsia"/>
        </w:rPr>
      </w:pPr>
      <w:r>
        <w:t>For RPOs, this area relates to access to funding for the RPO and how the funding is used to support data sharing and interoperability.</w:t>
      </w:r>
    </w:p>
    <w:p w14:paraId="1F2D2C90" w14:textId="0F4FB1C3" w:rsidR="005512BC" w:rsidRPr="005878BF" w:rsidRDefault="005512BC" w:rsidP="00624038">
      <w:pPr>
        <w:pStyle w:val="ListItem-Bullet"/>
        <w:rPr>
          <w:rFonts w:eastAsiaTheme="minorEastAsia"/>
        </w:rPr>
      </w:pPr>
      <w:r w:rsidRPr="00A64C61">
        <w:rPr>
          <w:bCs/>
        </w:rPr>
        <w:t>For RDIs, this area refers to the development and implementation of business models for sustainable</w:t>
      </w:r>
      <w:r>
        <w:rPr>
          <w:bCs/>
        </w:rPr>
        <w:t xml:space="preserve"> </w:t>
      </w:r>
      <w:r w:rsidRPr="00A64C61">
        <w:rPr>
          <w:bCs/>
        </w:rPr>
        <w:t>funding streams.</w:t>
      </w:r>
    </w:p>
    <w:p w14:paraId="7F635017" w14:textId="77777777" w:rsidR="005878BF" w:rsidRPr="005878BF" w:rsidRDefault="005878BF" w:rsidP="00657E78">
      <w:pPr>
        <w:jc w:val="center"/>
      </w:pPr>
    </w:p>
    <w:p w14:paraId="231356AC" w14:textId="77777777" w:rsidR="005512BC" w:rsidRPr="00753A90" w:rsidRDefault="005512BC" w:rsidP="00624038">
      <w:pPr>
        <w:pStyle w:val="Heading3"/>
      </w:pPr>
      <w:r w:rsidRPr="00753A90">
        <w:lastRenderedPageBreak/>
        <w:t>Training</w:t>
      </w:r>
    </w:p>
    <w:p w14:paraId="37F0CD77" w14:textId="77777777" w:rsidR="005512BC" w:rsidRPr="00A64C61" w:rsidRDefault="005512BC" w:rsidP="00624038">
      <w:pPr>
        <w:pStyle w:val="ListItem-Bullet"/>
      </w:pPr>
      <w:r>
        <w:t>For all organisation types: the c</w:t>
      </w:r>
      <w:r w:rsidRPr="00A64C61">
        <w:t>ommon understanding of RDM</w:t>
      </w:r>
      <w:r>
        <w:t xml:space="preserve">, </w:t>
      </w:r>
      <w:r w:rsidRPr="00A64C61">
        <w:t>data sharing</w:t>
      </w:r>
      <w:r>
        <w:t>, and interoperability</w:t>
      </w:r>
      <w:r w:rsidRPr="00A64C61">
        <w:t xml:space="preserve"> is considered a shared responsibility among </w:t>
      </w:r>
      <w:r>
        <w:t>all organisations</w:t>
      </w:r>
      <w:r w:rsidRPr="00A64C61">
        <w:t>.</w:t>
      </w:r>
      <w:r>
        <w:t xml:space="preserve"> Training comprises both RDM training for researchers and for organisational staff.</w:t>
      </w:r>
    </w:p>
    <w:p w14:paraId="2C0724ED" w14:textId="77777777" w:rsidR="005512BC" w:rsidRPr="00A64C61" w:rsidRDefault="005512BC" w:rsidP="00624038">
      <w:pPr>
        <w:pStyle w:val="ListItem-Bullet"/>
      </w:pPr>
      <w:r>
        <w:t>For RFOs, this area relates to the organisation’s contributions to building and maintaining skills and competencies for researchers, the organisations it supports, and their own staff involved in RDM.</w:t>
      </w:r>
    </w:p>
    <w:p w14:paraId="292051A5" w14:textId="77777777" w:rsidR="005512BC" w:rsidRPr="00A64C61" w:rsidRDefault="005512BC" w:rsidP="00624038">
      <w:pPr>
        <w:pStyle w:val="ListItem-Bullet"/>
      </w:pPr>
      <w:r>
        <w:rPr>
          <w:bCs/>
        </w:rPr>
        <w:t>For RPOs, this area relates to training and competency enhancement for both researchers and RDM support staff.</w:t>
      </w:r>
    </w:p>
    <w:p w14:paraId="57E8ED99" w14:textId="77777777" w:rsidR="005512BC" w:rsidRPr="00C97030" w:rsidRDefault="005512BC" w:rsidP="00624038">
      <w:pPr>
        <w:pStyle w:val="ListItem-Bullet"/>
      </w:pPr>
      <w:r>
        <w:t>For RDIs, this area relates to training and competency enhancement of RDI staff, to support researchers in the RDM efforts, as well as training for the users of RDIs.</w:t>
      </w:r>
    </w:p>
    <w:p w14:paraId="1DEFEB70" w14:textId="77777777" w:rsidR="005512BC" w:rsidRPr="00C97030" w:rsidRDefault="005512BC" w:rsidP="00624038">
      <w:pPr>
        <w:pStyle w:val="Heading3"/>
      </w:pPr>
      <w:r w:rsidRPr="00C97030">
        <w:t>Technical preparedness</w:t>
      </w:r>
    </w:p>
    <w:p w14:paraId="1827EDE6" w14:textId="77777777" w:rsidR="005512BC" w:rsidRPr="00A64C61" w:rsidRDefault="005512BC" w:rsidP="00624038">
      <w:pPr>
        <w:pStyle w:val="ListItem-Bullet"/>
        <w:rPr>
          <w:rFonts w:eastAsiaTheme="minorEastAsia"/>
        </w:rPr>
      </w:pPr>
      <w:r>
        <w:t>For RFOs, this area relates to investments in the development and implementation of technology to support RDM.</w:t>
      </w:r>
    </w:p>
    <w:p w14:paraId="4EDE4B99" w14:textId="77777777" w:rsidR="005512BC" w:rsidRPr="00A64C61" w:rsidRDefault="005512BC" w:rsidP="00624038">
      <w:pPr>
        <w:pStyle w:val="ListItem-Bullet"/>
        <w:rPr>
          <w:rFonts w:eastAsiaTheme="minorEastAsia"/>
        </w:rPr>
      </w:pPr>
      <w:r w:rsidRPr="00A64C61">
        <w:rPr>
          <w:bCs/>
        </w:rPr>
        <w:t>For RPOs, this area relates to contributions to infrastructures, data hubs, interfaces</w:t>
      </w:r>
      <w:r>
        <w:rPr>
          <w:bCs/>
        </w:rPr>
        <w:t>,</w:t>
      </w:r>
      <w:r w:rsidRPr="00A64C61">
        <w:rPr>
          <w:bCs/>
        </w:rPr>
        <w:t xml:space="preserve"> and information management issues</w:t>
      </w:r>
      <w:r>
        <w:rPr>
          <w:bCs/>
        </w:rPr>
        <w:t xml:space="preserve"> that ensure</w:t>
      </w:r>
      <w:r w:rsidRPr="00A64C61">
        <w:rPr>
          <w:bCs/>
        </w:rPr>
        <w:t xml:space="preserve"> interoperability.</w:t>
      </w:r>
    </w:p>
    <w:p w14:paraId="41070B84" w14:textId="77777777" w:rsidR="005512BC" w:rsidRPr="00C97030" w:rsidRDefault="005512BC" w:rsidP="00624038">
      <w:pPr>
        <w:pStyle w:val="ListItem-Bullet"/>
        <w:rPr>
          <w:rFonts w:eastAsiaTheme="minorEastAsia"/>
        </w:rPr>
      </w:pPr>
      <w:r>
        <w:t>For RDIs, this area relates to professional technical support for data management, including metadata, storage, usage/accessibility, and APIs.</w:t>
      </w:r>
    </w:p>
    <w:p w14:paraId="4651A61D" w14:textId="77777777" w:rsidR="005512BC" w:rsidRPr="00C97030" w:rsidRDefault="005512BC" w:rsidP="00624038">
      <w:pPr>
        <w:pStyle w:val="Heading3"/>
      </w:pPr>
      <w:r w:rsidRPr="00C97030">
        <w:t>Communication and awareness raising</w:t>
      </w:r>
    </w:p>
    <w:p w14:paraId="455E743C" w14:textId="77777777" w:rsidR="005512BC" w:rsidRPr="0052078D" w:rsidRDefault="005512BC" w:rsidP="00624038">
      <w:pPr>
        <w:pStyle w:val="ListItem-Bullet"/>
        <w:rPr>
          <w:rFonts w:eastAsiaTheme="minorEastAsia"/>
        </w:rPr>
      </w:pPr>
      <w:r>
        <w:t>For RFOs, this area relates to stakeholder engagement and community development, especially with other RFOs, RPOs, and scientific communities.</w:t>
      </w:r>
    </w:p>
    <w:p w14:paraId="539E097F" w14:textId="77777777" w:rsidR="005512BC" w:rsidRPr="0052078D" w:rsidRDefault="005512BC" w:rsidP="00624038">
      <w:pPr>
        <w:pStyle w:val="ListItem-Bullet"/>
        <w:rPr>
          <w:rFonts w:eastAsiaTheme="minorEastAsia"/>
        </w:rPr>
      </w:pPr>
      <w:r w:rsidRPr="0052078D">
        <w:rPr>
          <w:bCs/>
        </w:rPr>
        <w:t xml:space="preserve">For RPOs, this area relates to both researcher engagement as well as engaging with the broader stakeholder community </w:t>
      </w:r>
      <w:r>
        <w:rPr>
          <w:bCs/>
        </w:rPr>
        <w:t xml:space="preserve">(such as scientific communities, other RPOs) </w:t>
      </w:r>
      <w:r w:rsidRPr="0052078D">
        <w:rPr>
          <w:bCs/>
        </w:rPr>
        <w:t>to seek alignment of approaches.</w:t>
      </w:r>
    </w:p>
    <w:p w14:paraId="70DF35F5" w14:textId="77777777" w:rsidR="005512BC" w:rsidRPr="00A64C61" w:rsidRDefault="005512BC" w:rsidP="00624038">
      <w:pPr>
        <w:pStyle w:val="ListItem-Bullet"/>
        <w:rPr>
          <w:rFonts w:eastAsiaTheme="minorEastAsia"/>
        </w:rPr>
      </w:pPr>
      <w:r>
        <w:rPr>
          <w:bCs/>
        </w:rPr>
        <w:t>For RDIs, this area relates to engagement with researchers as users as well as with the researchers’ funding organisations and home institutions.</w:t>
      </w:r>
    </w:p>
    <w:p w14:paraId="3E25FCA1" w14:textId="77777777" w:rsidR="005512BC" w:rsidRDefault="005512BC" w:rsidP="005512BC">
      <w:pPr>
        <w:pStyle w:val="List"/>
        <w:ind w:left="0" w:firstLine="0"/>
      </w:pPr>
      <w:r>
        <w:br w:type="page"/>
      </w:r>
    </w:p>
    <w:p w14:paraId="52597372" w14:textId="77777777" w:rsidR="005512BC" w:rsidRDefault="005512BC" w:rsidP="005512BC">
      <w:pPr>
        <w:pStyle w:val="Heading1"/>
        <w:sectPr w:rsidR="005512BC" w:rsidSect="00BF0E93">
          <w:headerReference w:type="default" r:id="rId14"/>
          <w:footerReference w:type="default" r:id="rId15"/>
          <w:pgSz w:w="11907" w:h="16839"/>
          <w:pgMar w:top="1440" w:right="1440" w:bottom="1440" w:left="1440" w:header="720" w:footer="720" w:gutter="0"/>
          <w:cols w:space="720"/>
          <w:docGrid w:linePitch="360"/>
        </w:sectPr>
      </w:pPr>
    </w:p>
    <w:p w14:paraId="7E7994BA" w14:textId="77777777" w:rsidR="005878BF" w:rsidRDefault="005512BC" w:rsidP="005878BF">
      <w:pPr>
        <w:pStyle w:val="Heading1"/>
        <w:spacing w:before="0" w:after="0"/>
      </w:pPr>
      <w:r w:rsidRPr="0002199D">
        <w:lastRenderedPageBreak/>
        <w:t xml:space="preserve">Research </w:t>
      </w:r>
      <w:r w:rsidR="0002199D" w:rsidRPr="0002199D">
        <w:t>Performing</w:t>
      </w:r>
      <w:r w:rsidRPr="0002199D">
        <w:t xml:space="preserve"> Organisations (R</w:t>
      </w:r>
      <w:r w:rsidR="0002199D" w:rsidRPr="0002199D">
        <w:t>P</w:t>
      </w:r>
      <w:r w:rsidRPr="0002199D">
        <w:t>Os)</w:t>
      </w:r>
    </w:p>
    <w:p w14:paraId="4CAEB6C7" w14:textId="194B8CEC" w:rsidR="005512BC" w:rsidRPr="0002199D" w:rsidRDefault="005512BC" w:rsidP="005878BF">
      <w:pPr>
        <w:pStyle w:val="H1Subheading"/>
      </w:pPr>
      <w:r w:rsidRPr="0002199D">
        <w:t>Maturity matrix for sustainable research data</w:t>
      </w:r>
    </w:p>
    <w:tbl>
      <w:tblPr>
        <w:tblStyle w:val="TableGrid"/>
        <w:tblW w:w="5000" w:type="pct"/>
        <w:tblBorders>
          <w:top w:val="none" w:sz="0" w:space="0" w:color="auto"/>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57" w:type="dxa"/>
          <w:bottom w:w="57" w:type="dxa"/>
        </w:tblCellMar>
        <w:tblLook w:val="04A0" w:firstRow="1" w:lastRow="0" w:firstColumn="1" w:lastColumn="0" w:noHBand="0" w:noVBand="1"/>
      </w:tblPr>
      <w:tblGrid>
        <w:gridCol w:w="1673"/>
        <w:gridCol w:w="3068"/>
        <w:gridCol w:w="3069"/>
        <w:gridCol w:w="3069"/>
        <w:gridCol w:w="3069"/>
      </w:tblGrid>
      <w:tr w:rsidR="00A9512C" w14:paraId="091CF437" w14:textId="77777777" w:rsidTr="000C5AFC">
        <w:tc>
          <w:tcPr>
            <w:tcW w:w="600" w:type="pct"/>
            <w:vMerge w:val="restart"/>
            <w:tcBorders>
              <w:top w:val="nil"/>
              <w:left w:val="single" w:sz="4" w:space="0" w:color="D9E8D3"/>
              <w:bottom w:val="nil"/>
              <w:right w:val="single" w:sz="4" w:space="0" w:color="FFFFFF" w:themeColor="background1"/>
            </w:tcBorders>
            <w:shd w:val="clear" w:color="auto" w:fill="D9E8D3"/>
            <w:vAlign w:val="center"/>
          </w:tcPr>
          <w:p w14:paraId="2DFCEA4B" w14:textId="7E1D0111" w:rsidR="0002199D" w:rsidRPr="00B27E7E" w:rsidRDefault="0002199D" w:rsidP="00A05186">
            <w:pPr>
              <w:pStyle w:val="TableHeader"/>
              <w:rPr>
                <w:color w:val="538135" w:themeColor="accent6" w:themeShade="BF"/>
              </w:rPr>
            </w:pPr>
            <w:r w:rsidRPr="00B27E7E">
              <w:rPr>
                <w:color w:val="538135" w:themeColor="accent6" w:themeShade="BF"/>
              </w:rPr>
              <w:t>Maturity Level</w:t>
            </w:r>
          </w:p>
          <w:p w14:paraId="5AB5041B" w14:textId="77777777" w:rsidR="0002199D" w:rsidRPr="11A9AA79" w:rsidRDefault="0002199D" w:rsidP="00A05186">
            <w:pPr>
              <w:pStyle w:val="TableHeader"/>
            </w:pPr>
            <w:r w:rsidRPr="00B27E7E">
              <w:rPr>
                <w:color w:val="538135" w:themeColor="accent6" w:themeShade="BF"/>
              </w:rPr>
              <w:t>Areas</w:t>
            </w:r>
          </w:p>
        </w:tc>
        <w:tc>
          <w:tcPr>
            <w:tcW w:w="1100" w:type="pct"/>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74B674"/>
            <w:vAlign w:val="center"/>
          </w:tcPr>
          <w:p w14:paraId="6D6B56DF" w14:textId="77777777" w:rsidR="0002199D" w:rsidRPr="032F1EE9" w:rsidRDefault="0002199D" w:rsidP="00A05186">
            <w:pPr>
              <w:pStyle w:val="TableHeader"/>
            </w:pPr>
            <w:r>
              <w:t>Progression Steps</w:t>
            </w:r>
          </w:p>
        </w:tc>
        <w:tc>
          <w:tcPr>
            <w:tcW w:w="1100" w:type="pct"/>
            <w:vMerge w:val="restart"/>
            <w:tcBorders>
              <w:top w:val="nil"/>
              <w:left w:val="single" w:sz="4" w:space="0" w:color="FFFFFF" w:themeColor="background1"/>
              <w:right w:val="single" w:sz="4" w:space="0" w:color="9AC795"/>
            </w:tcBorders>
            <w:shd w:val="clear" w:color="auto" w:fill="9AC795"/>
            <w:vAlign w:val="center"/>
          </w:tcPr>
          <w:p w14:paraId="30FA3055" w14:textId="16578A64" w:rsidR="0002199D" w:rsidRPr="00A9512C" w:rsidRDefault="0002199D" w:rsidP="00A9512C">
            <w:pPr>
              <w:pStyle w:val="TableHeader"/>
            </w:pPr>
            <w:r w:rsidRPr="00A9512C">
              <w:t>Further Advancement and Alignment</w:t>
            </w:r>
          </w:p>
        </w:tc>
      </w:tr>
      <w:tr w:rsidR="000C5AFC" w14:paraId="01B0CA11" w14:textId="77777777" w:rsidTr="000C5AFC">
        <w:tc>
          <w:tcPr>
            <w:tcW w:w="600" w:type="pct"/>
            <w:vMerge/>
            <w:tcBorders>
              <w:top w:val="single" w:sz="4" w:space="0" w:color="BFBFBF" w:themeColor="background1" w:themeShade="BF"/>
              <w:left w:val="single" w:sz="4" w:space="0" w:color="D9E8D3"/>
              <w:bottom w:val="nil"/>
              <w:right w:val="single" w:sz="4" w:space="0" w:color="FFFFFF" w:themeColor="background1"/>
            </w:tcBorders>
            <w:shd w:val="clear" w:color="auto" w:fill="D9E8D3"/>
          </w:tcPr>
          <w:p w14:paraId="36D19276" w14:textId="77777777" w:rsidR="0002199D" w:rsidRPr="00EF5B9F" w:rsidRDefault="0002199D" w:rsidP="00F01860">
            <w:pPr>
              <w:rPr>
                <w:b/>
                <w:bCs/>
              </w:rPr>
            </w:pP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74B674"/>
            <w:vAlign w:val="center"/>
          </w:tcPr>
          <w:p w14:paraId="20EC805A" w14:textId="79292803" w:rsidR="0002199D" w:rsidRPr="00EF5B9F" w:rsidRDefault="0002199D" w:rsidP="00A05186">
            <w:pPr>
              <w:pStyle w:val="TableHeader"/>
            </w:pPr>
            <w:r>
              <w:t>Plans to Develop</w:t>
            </w: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74B674"/>
            <w:vAlign w:val="center"/>
          </w:tcPr>
          <w:p w14:paraId="2C04BB1D" w14:textId="77777777" w:rsidR="0002199D" w:rsidRPr="00EF5B9F" w:rsidRDefault="0002199D" w:rsidP="00A05186">
            <w:pPr>
              <w:pStyle w:val="TableHeader"/>
            </w:pPr>
            <w:r w:rsidRPr="032F1EE9">
              <w:t xml:space="preserve">Development </w:t>
            </w:r>
            <w:r>
              <w:t>O</w:t>
            </w:r>
            <w:r w:rsidRPr="032F1EE9">
              <w:t>ngoing</w:t>
            </w:r>
          </w:p>
        </w:tc>
        <w:tc>
          <w:tcPr>
            <w:tcW w:w="1100" w:type="pct"/>
            <w:tcBorders>
              <w:top w:val="single" w:sz="4" w:space="0" w:color="FFFFFF" w:themeColor="background1"/>
              <w:left w:val="single" w:sz="4" w:space="0" w:color="FFFFFF" w:themeColor="background1"/>
              <w:bottom w:val="nil"/>
              <w:right w:val="single" w:sz="4" w:space="0" w:color="FFFFFF" w:themeColor="background1"/>
            </w:tcBorders>
            <w:shd w:val="clear" w:color="auto" w:fill="74B674"/>
            <w:vAlign w:val="center"/>
          </w:tcPr>
          <w:p w14:paraId="4C8B06C6" w14:textId="488ED52A" w:rsidR="0002199D" w:rsidRPr="00EF5B9F" w:rsidRDefault="0002199D" w:rsidP="00A05186">
            <w:pPr>
              <w:pStyle w:val="TableHeader"/>
            </w:pPr>
            <w:r w:rsidRPr="032F1EE9">
              <w:t xml:space="preserve">Developed on </w:t>
            </w:r>
            <w:r w:rsidR="00A05186">
              <w:br/>
            </w:r>
            <w:r>
              <w:t>O</w:t>
            </w:r>
            <w:r w:rsidRPr="032F1EE9">
              <w:t>rganisational</w:t>
            </w:r>
            <w:r w:rsidR="005878BF">
              <w:t xml:space="preserve"> </w:t>
            </w:r>
            <w:r>
              <w:t>L</w:t>
            </w:r>
            <w:r w:rsidRPr="032F1EE9">
              <w:t>evel</w:t>
            </w:r>
          </w:p>
        </w:tc>
        <w:tc>
          <w:tcPr>
            <w:tcW w:w="1100" w:type="pct"/>
            <w:vMerge/>
            <w:tcBorders>
              <w:top w:val="single" w:sz="4" w:space="0" w:color="BFBFBF" w:themeColor="background1" w:themeShade="BF"/>
              <w:left w:val="single" w:sz="4" w:space="0" w:color="FFFFFF" w:themeColor="background1"/>
              <w:bottom w:val="nil"/>
              <w:right w:val="single" w:sz="4" w:space="0" w:color="9AC795"/>
            </w:tcBorders>
            <w:shd w:val="clear" w:color="auto" w:fill="9AC795"/>
          </w:tcPr>
          <w:p w14:paraId="0C8FBF76" w14:textId="77777777" w:rsidR="0002199D" w:rsidRPr="00EF5B9F" w:rsidRDefault="0002199D" w:rsidP="00F01860">
            <w:pPr>
              <w:rPr>
                <w:b/>
                <w:bCs/>
                <w:sz w:val="20"/>
                <w:szCs w:val="20"/>
              </w:rPr>
            </w:pPr>
          </w:p>
        </w:tc>
      </w:tr>
      <w:tr w:rsidR="0002199D" w14:paraId="5B9C731C" w14:textId="77777777" w:rsidTr="000C5AFC">
        <w:tc>
          <w:tcPr>
            <w:tcW w:w="600" w:type="pct"/>
            <w:tcBorders>
              <w:top w:val="nil"/>
            </w:tcBorders>
            <w:shd w:val="clear" w:color="auto" w:fill="FFFFFF" w:themeFill="background1"/>
          </w:tcPr>
          <w:p w14:paraId="7644AA7D" w14:textId="77777777" w:rsidR="0002199D" w:rsidRPr="0002199D" w:rsidRDefault="0002199D" w:rsidP="00A05186">
            <w:pPr>
              <w:pStyle w:val="TableIndex"/>
            </w:pPr>
            <w:r w:rsidRPr="0002199D">
              <w:t>Organisational Engagement and Commitment</w:t>
            </w:r>
          </w:p>
        </w:tc>
        <w:tc>
          <w:tcPr>
            <w:tcW w:w="1100" w:type="pct"/>
            <w:tcBorders>
              <w:top w:val="nil"/>
            </w:tcBorders>
            <w:shd w:val="clear" w:color="auto" w:fill="FFFFFF" w:themeFill="background1"/>
          </w:tcPr>
          <w:p w14:paraId="798A4A50" w14:textId="77777777" w:rsidR="000C5AFC" w:rsidRDefault="000C5AFC" w:rsidP="000C5AFC">
            <w:pPr>
              <w:pStyle w:val="TableList"/>
            </w:pPr>
            <w:r>
              <w:t>RFO takes first steps towards considering RDM issues and defining where it needs to act.</w:t>
            </w:r>
          </w:p>
          <w:p w14:paraId="101DAA2D" w14:textId="12D59452" w:rsidR="0002199D" w:rsidRPr="00EF5B9F" w:rsidRDefault="000C5AFC" w:rsidP="000C5AFC">
            <w:pPr>
              <w:pStyle w:val="TableList"/>
            </w:pPr>
            <w:r>
              <w:t>RFO determines the scope of its activities, including looking to others for guidance and best practices.</w:t>
            </w:r>
          </w:p>
        </w:tc>
        <w:tc>
          <w:tcPr>
            <w:tcW w:w="1100" w:type="pct"/>
            <w:tcBorders>
              <w:top w:val="nil"/>
            </w:tcBorders>
            <w:shd w:val="clear" w:color="auto" w:fill="FFFFFF" w:themeFill="background1"/>
          </w:tcPr>
          <w:p w14:paraId="05EA8458" w14:textId="1BE91E27" w:rsidR="000C5AFC" w:rsidRDefault="000C5AFC" w:rsidP="000C5AFC">
            <w:pPr>
              <w:pStyle w:val="TableList"/>
            </w:pPr>
            <w:r>
              <w:t>RFO sees effective RDM as part of its strategic objectives and develops a comprehensive strategy</w:t>
            </w:r>
            <w:r w:rsidR="007F2C31">
              <w:rPr>
                <w:rStyle w:val="EndnoteReference"/>
              </w:rPr>
              <w:endnoteReference w:id="2"/>
            </w:r>
            <w:r>
              <w:t xml:space="preserve"> to include policy, funding, technical infrastructure and training as appropriate.</w:t>
            </w:r>
          </w:p>
          <w:p w14:paraId="5F119605" w14:textId="10E3E77B" w:rsidR="0002199D" w:rsidRPr="002B66E7" w:rsidRDefault="000C5AFC" w:rsidP="000C5AFC">
            <w:pPr>
              <w:pStyle w:val="TableList"/>
              <w:rPr>
                <w:rFonts w:eastAsiaTheme="minorEastAsia"/>
                <w:sz w:val="20"/>
                <w:szCs w:val="20"/>
              </w:rPr>
            </w:pPr>
            <w:r>
              <w:t>RFO ensures that RDM objectives are developed within the context of related organisations.</w:t>
            </w:r>
          </w:p>
        </w:tc>
        <w:tc>
          <w:tcPr>
            <w:tcW w:w="1100" w:type="pct"/>
            <w:tcBorders>
              <w:top w:val="nil"/>
            </w:tcBorders>
            <w:shd w:val="clear" w:color="auto" w:fill="FFFFFF" w:themeFill="background1"/>
          </w:tcPr>
          <w:p w14:paraId="63E40EE0" w14:textId="77777777" w:rsidR="000C5AFC" w:rsidRDefault="000C5AFC" w:rsidP="000C5AFC">
            <w:pPr>
              <w:pStyle w:val="TableList"/>
            </w:pPr>
            <w:r>
              <w:t>RFO has an RDM strategy.</w:t>
            </w:r>
          </w:p>
          <w:p w14:paraId="3F1B84E3" w14:textId="77777777" w:rsidR="000C5AFC" w:rsidRDefault="000C5AFC" w:rsidP="000C5AFC">
            <w:pPr>
              <w:pStyle w:val="TableList"/>
            </w:pPr>
            <w:r>
              <w:t>RFO actively engages in RDM issues, including financial support for policy implementation, training, and, where appropriate, the provision of infrastructure for long-term data preservation.</w:t>
            </w:r>
          </w:p>
          <w:p w14:paraId="6235B7A2" w14:textId="1DC5C651" w:rsidR="0002199D" w:rsidRPr="007B31E5" w:rsidRDefault="000C5AFC" w:rsidP="000C5AFC">
            <w:pPr>
              <w:pStyle w:val="TableList"/>
              <w:rPr>
                <w:rFonts w:eastAsiaTheme="minorEastAsia"/>
              </w:rPr>
            </w:pPr>
            <w:r>
              <w:t>RFO is in dialogue and collaboration with related RFOs, RPOs, and RDIs at (inter)national level to advance practical RDM issues.</w:t>
            </w:r>
          </w:p>
        </w:tc>
        <w:tc>
          <w:tcPr>
            <w:tcW w:w="1100" w:type="pct"/>
            <w:tcBorders>
              <w:top w:val="nil"/>
            </w:tcBorders>
            <w:shd w:val="clear" w:color="auto" w:fill="FFFFFF" w:themeFill="background1"/>
          </w:tcPr>
          <w:p w14:paraId="5AB68A52" w14:textId="77777777" w:rsidR="000C5AFC" w:rsidRDefault="000C5AFC" w:rsidP="000C5AFC">
            <w:pPr>
              <w:pStyle w:val="TableList"/>
            </w:pPr>
            <w:r>
              <w:t>RFO seeks alignment on RDM policies and practices amongst RFOs, RPOs, and RDIs at (inter)national level.</w:t>
            </w:r>
          </w:p>
          <w:p w14:paraId="27E54B2D" w14:textId="77777777" w:rsidR="000C5AFC" w:rsidRDefault="000C5AFC" w:rsidP="000C5AFC">
            <w:pPr>
              <w:pStyle w:val="TableList"/>
            </w:pPr>
            <w:r>
              <w:t>RFO engages in dialogue and collaboration at (inter)national level for policy, training, provision of RDI and so on.</w:t>
            </w:r>
          </w:p>
          <w:p w14:paraId="4B717B85" w14:textId="2281B998" w:rsidR="0002199D" w:rsidRPr="00EF5B9F" w:rsidRDefault="000C5AFC" w:rsidP="000C5AFC">
            <w:pPr>
              <w:pStyle w:val="TableList"/>
            </w:pPr>
            <w:r>
              <w:t>RFO helps to provide a level playing field at the (inter)national level.</w:t>
            </w:r>
          </w:p>
        </w:tc>
      </w:tr>
      <w:tr w:rsidR="00854B34" w14:paraId="73B92520" w14:textId="77777777" w:rsidTr="000C5AFC">
        <w:tc>
          <w:tcPr>
            <w:tcW w:w="600" w:type="pct"/>
            <w:shd w:val="clear" w:color="auto" w:fill="F3F7EF"/>
          </w:tcPr>
          <w:p w14:paraId="1BF8D230" w14:textId="77777777" w:rsidR="0002199D" w:rsidRPr="0002199D" w:rsidRDefault="0002199D" w:rsidP="00A05186">
            <w:pPr>
              <w:pStyle w:val="TableIndex"/>
            </w:pPr>
            <w:r w:rsidRPr="0002199D">
              <w:t>Policy Environment</w:t>
            </w:r>
          </w:p>
        </w:tc>
        <w:tc>
          <w:tcPr>
            <w:tcW w:w="1100" w:type="pct"/>
            <w:shd w:val="clear" w:color="auto" w:fill="F3F7EF"/>
          </w:tcPr>
          <w:p w14:paraId="4D60FB1E" w14:textId="77777777" w:rsidR="000C5AFC" w:rsidRPr="000C5AFC" w:rsidRDefault="000C5AFC" w:rsidP="000C5AFC">
            <w:pPr>
              <w:pStyle w:val="TableList"/>
              <w:rPr>
                <w:rFonts w:eastAsiaTheme="minorEastAsia"/>
              </w:rPr>
            </w:pPr>
            <w:r w:rsidRPr="000C5AFC">
              <w:rPr>
                <w:rFonts w:eastAsiaTheme="minorEastAsia"/>
              </w:rPr>
              <w:t>RFO outlines areas of policy and process for policy development that likely need to be addressed.</w:t>
            </w:r>
          </w:p>
          <w:p w14:paraId="1C8E85DE" w14:textId="77777777" w:rsidR="000C5AFC" w:rsidRPr="000C5AFC" w:rsidRDefault="000C5AFC" w:rsidP="000C5AFC">
            <w:pPr>
              <w:pStyle w:val="TableList"/>
              <w:rPr>
                <w:rFonts w:eastAsiaTheme="minorEastAsia"/>
              </w:rPr>
            </w:pPr>
            <w:r w:rsidRPr="000C5AFC">
              <w:rPr>
                <w:rFonts w:eastAsiaTheme="minorEastAsia"/>
              </w:rPr>
              <w:t>RFO identifies relevant stakeholders within and outside the RFO in the policy development process.</w:t>
            </w:r>
          </w:p>
          <w:p w14:paraId="33A44D2F" w14:textId="6E06AB19" w:rsidR="0002199D" w:rsidRPr="000C5AFC" w:rsidRDefault="000C5AFC" w:rsidP="000C5AFC">
            <w:pPr>
              <w:pStyle w:val="TableList"/>
              <w:rPr>
                <w:rFonts w:eastAsiaTheme="minorEastAsia"/>
              </w:rPr>
            </w:pPr>
            <w:r w:rsidRPr="000C5AFC">
              <w:rPr>
                <w:rFonts w:eastAsiaTheme="minorEastAsia"/>
              </w:rPr>
              <w:t>RFO reviews policies from related organisations to ensure consistency (where appropriate and possible).</w:t>
            </w:r>
          </w:p>
        </w:tc>
        <w:tc>
          <w:tcPr>
            <w:tcW w:w="1100" w:type="pct"/>
            <w:shd w:val="clear" w:color="auto" w:fill="F3F7EF"/>
          </w:tcPr>
          <w:p w14:paraId="66A89FA9" w14:textId="77777777" w:rsidR="000C5AFC" w:rsidRDefault="000C5AFC" w:rsidP="000C5AFC">
            <w:pPr>
              <w:pStyle w:val="TableList"/>
            </w:pPr>
            <w:r>
              <w:t xml:space="preserve">RFO has an initial RDM policy in place, including guidelines on when and how data should be made available and findable. </w:t>
            </w:r>
          </w:p>
          <w:p w14:paraId="6E02049D" w14:textId="77777777" w:rsidR="000C5AFC" w:rsidRDefault="000C5AFC" w:rsidP="000C5AFC">
            <w:pPr>
              <w:pStyle w:val="TableList"/>
            </w:pPr>
            <w:r>
              <w:t>RFO has established a policy review/revision date, recognising that the policy will need revision and refinement as organisational maturity increases.</w:t>
            </w:r>
          </w:p>
          <w:p w14:paraId="5E77DC4A" w14:textId="77777777" w:rsidR="000C5AFC" w:rsidRDefault="000C5AFC" w:rsidP="000C5AFC">
            <w:pPr>
              <w:pStyle w:val="TableList"/>
            </w:pPr>
            <w:r>
              <w:t>RFO consults with stakeholders on policy implementation and monitoring.</w:t>
            </w:r>
          </w:p>
          <w:p w14:paraId="314DDB5F" w14:textId="440E348A" w:rsidR="0002199D" w:rsidRPr="00EF5B9F" w:rsidRDefault="000C5AFC" w:rsidP="000C5AFC">
            <w:pPr>
              <w:pStyle w:val="TableList"/>
            </w:pPr>
            <w:r>
              <w:lastRenderedPageBreak/>
              <w:t>RFO has established dialogue with RPOs and RDIs that collaborate with the RFO to ensure they are developing policies and procedures that reflect the requirements of the RFO.</w:t>
            </w:r>
          </w:p>
        </w:tc>
        <w:tc>
          <w:tcPr>
            <w:tcW w:w="1100" w:type="pct"/>
            <w:shd w:val="clear" w:color="auto" w:fill="F3F7EF"/>
          </w:tcPr>
          <w:p w14:paraId="4F1A6DFC" w14:textId="77777777" w:rsidR="000C5AFC" w:rsidRDefault="000C5AFC" w:rsidP="000C5AFC">
            <w:pPr>
              <w:pStyle w:val="TableList"/>
            </w:pPr>
            <w:r>
              <w:lastRenderedPageBreak/>
              <w:t>RFO has a well-developed comprehensive RDM policy and supporting environment, including in research funding peer-review processes.</w:t>
            </w:r>
          </w:p>
          <w:p w14:paraId="43FA2B99" w14:textId="77777777" w:rsidR="000C5AFC" w:rsidRDefault="000C5AFC" w:rsidP="000C5AFC">
            <w:pPr>
              <w:pStyle w:val="TableList"/>
            </w:pPr>
            <w:r>
              <w:t>RFO engages with a community of stakeholders for policy implementation, for example, through developing a process to monitor the ‘</w:t>
            </w:r>
            <w:proofErr w:type="spellStart"/>
            <w:r>
              <w:t>FAIRness</w:t>
            </w:r>
            <w:proofErr w:type="spellEnd"/>
            <w:r>
              <w:t>’ of research data.</w:t>
            </w:r>
          </w:p>
          <w:p w14:paraId="6F675842" w14:textId="6D58C94A" w:rsidR="000C5AFC" w:rsidRDefault="000C5AFC" w:rsidP="000C5AFC">
            <w:pPr>
              <w:pStyle w:val="TableList"/>
            </w:pPr>
            <w:r>
              <w:lastRenderedPageBreak/>
              <w:t>RFO has a complementary community development process established as part of policy development, including the provision of RDM training and infrastructure.</w:t>
            </w:r>
            <w:r w:rsidR="002D12E1">
              <w:rPr>
                <w:rStyle w:val="EndnoteReference"/>
              </w:rPr>
              <w:endnoteReference w:id="3"/>
            </w:r>
          </w:p>
          <w:p w14:paraId="6AB1C759" w14:textId="77777777" w:rsidR="000C5AFC" w:rsidRDefault="000C5AFC" w:rsidP="000C5AFC">
            <w:pPr>
              <w:pStyle w:val="TableList"/>
            </w:pPr>
            <w:r>
              <w:t>RFO works towards alignment of policies at an (inter)national level through engaging with related organisations.</w:t>
            </w:r>
          </w:p>
          <w:p w14:paraId="29E16034" w14:textId="41398669" w:rsidR="0002199D" w:rsidRPr="007151F5" w:rsidRDefault="000C5AFC" w:rsidP="000C5AFC">
            <w:pPr>
              <w:pStyle w:val="TableList"/>
            </w:pPr>
            <w:r>
              <w:t>RFO initiates monitoring exercises to measure policy impact.</w:t>
            </w:r>
          </w:p>
        </w:tc>
        <w:tc>
          <w:tcPr>
            <w:tcW w:w="1100" w:type="pct"/>
            <w:shd w:val="clear" w:color="auto" w:fill="F3F7EF"/>
          </w:tcPr>
          <w:p w14:paraId="2A6509EF" w14:textId="77777777" w:rsidR="000C5AFC" w:rsidRPr="000C5AFC" w:rsidRDefault="000C5AFC" w:rsidP="000C5AFC">
            <w:pPr>
              <w:pStyle w:val="TableList"/>
              <w:rPr>
                <w:rFonts w:eastAsiaTheme="minorEastAsia"/>
              </w:rPr>
            </w:pPr>
            <w:r w:rsidRPr="000C5AFC">
              <w:rPr>
                <w:rFonts w:eastAsiaTheme="minorEastAsia"/>
              </w:rPr>
              <w:lastRenderedPageBreak/>
              <w:t>RFO has aligned its policy with those from international organisations (such as Science Europe, RDA &amp; OECD), with other (inter)national RFOs, with a national policy framework for Research Data Management (RDM).</w:t>
            </w:r>
          </w:p>
          <w:p w14:paraId="013AEB2C" w14:textId="77777777" w:rsidR="000C5AFC" w:rsidRPr="000C5AFC" w:rsidRDefault="000C5AFC" w:rsidP="000C5AFC">
            <w:pPr>
              <w:pStyle w:val="TableList"/>
              <w:rPr>
                <w:rFonts w:eastAsiaTheme="minorEastAsia"/>
              </w:rPr>
            </w:pPr>
            <w:r w:rsidRPr="000C5AFC">
              <w:rPr>
                <w:rFonts w:eastAsiaTheme="minorEastAsia"/>
              </w:rPr>
              <w:t>RFO policy is aligned with evolving legal framework around research data and European Data Strategy.</w:t>
            </w:r>
          </w:p>
          <w:p w14:paraId="4C5CA630" w14:textId="0294D261" w:rsidR="000C5AFC" w:rsidRPr="000C5AFC" w:rsidRDefault="000C5AFC" w:rsidP="000C5AFC">
            <w:pPr>
              <w:pStyle w:val="TableList"/>
              <w:rPr>
                <w:rFonts w:eastAsiaTheme="minorEastAsia"/>
              </w:rPr>
            </w:pPr>
            <w:r w:rsidRPr="000C5AFC">
              <w:rPr>
                <w:rFonts w:eastAsiaTheme="minorEastAsia"/>
              </w:rPr>
              <w:lastRenderedPageBreak/>
              <w:t>RFO policy is developed in collaboration with RPOs and research communities and in alignment with community norms.</w:t>
            </w:r>
            <w:r w:rsidR="002D12E1">
              <w:rPr>
                <w:rStyle w:val="EndnoteReference"/>
                <w:rFonts w:eastAsiaTheme="minorEastAsia"/>
              </w:rPr>
              <w:endnoteReference w:id="4"/>
            </w:r>
            <w:r w:rsidRPr="000C5AFC">
              <w:rPr>
                <w:rFonts w:eastAsiaTheme="minorEastAsia"/>
              </w:rPr>
              <w:t xml:space="preserve"> </w:t>
            </w:r>
          </w:p>
          <w:p w14:paraId="196069EA" w14:textId="5611C3E3" w:rsidR="000C5AFC" w:rsidRPr="000C5AFC" w:rsidRDefault="000C5AFC" w:rsidP="000C5AFC">
            <w:pPr>
              <w:pStyle w:val="TableList"/>
              <w:rPr>
                <w:rFonts w:eastAsiaTheme="minorEastAsia"/>
              </w:rPr>
            </w:pPr>
            <w:r w:rsidRPr="000C5AFC">
              <w:rPr>
                <w:rFonts w:eastAsiaTheme="minorEastAsia"/>
              </w:rPr>
              <w:t>RFO is part of an international RFO network for continuous exchange on further policy development/</w:t>
            </w:r>
            <w:r w:rsidR="002D12E1">
              <w:rPr>
                <w:rFonts w:eastAsiaTheme="minorEastAsia"/>
              </w:rPr>
              <w:t xml:space="preserve"> </w:t>
            </w:r>
            <w:r w:rsidRPr="000C5AFC">
              <w:rPr>
                <w:rFonts w:eastAsiaTheme="minorEastAsia"/>
              </w:rPr>
              <w:t>alignment.</w:t>
            </w:r>
          </w:p>
          <w:p w14:paraId="22CBF938" w14:textId="77777777" w:rsidR="000C5AFC" w:rsidRPr="000C5AFC" w:rsidRDefault="000C5AFC" w:rsidP="000C5AFC">
            <w:pPr>
              <w:pStyle w:val="TableList"/>
              <w:rPr>
                <w:rFonts w:eastAsiaTheme="minorEastAsia"/>
              </w:rPr>
            </w:pPr>
            <w:r w:rsidRPr="000C5AFC">
              <w:rPr>
                <w:rFonts w:eastAsiaTheme="minorEastAsia"/>
              </w:rPr>
              <w:t>‘</w:t>
            </w:r>
            <w:proofErr w:type="spellStart"/>
            <w:r w:rsidRPr="000C5AFC">
              <w:rPr>
                <w:rFonts w:eastAsiaTheme="minorEastAsia"/>
              </w:rPr>
              <w:t>FAIRness</w:t>
            </w:r>
            <w:proofErr w:type="spellEnd"/>
            <w:r w:rsidRPr="000C5AFC">
              <w:rPr>
                <w:rFonts w:eastAsiaTheme="minorEastAsia"/>
              </w:rPr>
              <w:t>’ of research data is part of the criteria for research funding evaluations.</w:t>
            </w:r>
          </w:p>
          <w:p w14:paraId="0624B090" w14:textId="77777777" w:rsidR="000C5AFC" w:rsidRPr="000C5AFC" w:rsidRDefault="000C5AFC" w:rsidP="000C5AFC">
            <w:pPr>
              <w:pStyle w:val="TableList"/>
              <w:rPr>
                <w:rFonts w:eastAsiaTheme="minorEastAsia"/>
              </w:rPr>
            </w:pPr>
            <w:r w:rsidRPr="000C5AFC">
              <w:rPr>
                <w:rFonts w:eastAsiaTheme="minorEastAsia"/>
              </w:rPr>
              <w:t>RFO has monitoring in place to measure policy impact, leading to iterative development of policies.</w:t>
            </w:r>
          </w:p>
          <w:p w14:paraId="08B71BFB" w14:textId="29591AF5" w:rsidR="0002199D" w:rsidRPr="000C5AFC" w:rsidRDefault="000C5AFC" w:rsidP="000C5AFC">
            <w:pPr>
              <w:pStyle w:val="TableList"/>
              <w:rPr>
                <w:rFonts w:eastAsiaTheme="minorEastAsia"/>
              </w:rPr>
            </w:pPr>
            <w:r w:rsidRPr="000C5AFC">
              <w:rPr>
                <w:rFonts w:eastAsiaTheme="minorEastAsia"/>
              </w:rPr>
              <w:t>RFO policy includes enhanced guidelines to ensure sustainability.</w:t>
            </w:r>
            <w:r w:rsidR="002D12E1">
              <w:rPr>
                <w:rStyle w:val="EndnoteReference"/>
                <w:rFonts w:eastAsiaTheme="minorEastAsia"/>
              </w:rPr>
              <w:endnoteReference w:id="5"/>
            </w:r>
          </w:p>
        </w:tc>
      </w:tr>
      <w:tr w:rsidR="0002199D" w14:paraId="4A26453D" w14:textId="77777777" w:rsidTr="000C5AFC">
        <w:tc>
          <w:tcPr>
            <w:tcW w:w="600" w:type="pct"/>
            <w:shd w:val="clear" w:color="auto" w:fill="FFFFFF" w:themeFill="background1"/>
          </w:tcPr>
          <w:p w14:paraId="20D23EA1" w14:textId="77777777" w:rsidR="0002199D" w:rsidRPr="0002199D" w:rsidRDefault="0002199D" w:rsidP="00A05186">
            <w:pPr>
              <w:pStyle w:val="TableIndex"/>
            </w:pPr>
            <w:r w:rsidRPr="0002199D">
              <w:lastRenderedPageBreak/>
              <w:t xml:space="preserve">Financial Aspects </w:t>
            </w:r>
          </w:p>
        </w:tc>
        <w:tc>
          <w:tcPr>
            <w:tcW w:w="1100" w:type="pct"/>
            <w:shd w:val="clear" w:color="auto" w:fill="FFFFFF" w:themeFill="background1"/>
          </w:tcPr>
          <w:p w14:paraId="1B82EF36" w14:textId="12392589" w:rsidR="008544EF" w:rsidRPr="008544EF" w:rsidRDefault="008544EF" w:rsidP="008544EF">
            <w:pPr>
              <w:pStyle w:val="TableList"/>
              <w:rPr>
                <w:rFonts w:eastAsiaTheme="minorEastAsia"/>
              </w:rPr>
            </w:pPr>
            <w:r w:rsidRPr="008544EF">
              <w:rPr>
                <w:rFonts w:eastAsiaTheme="minorEastAsia"/>
              </w:rPr>
              <w:t>RFO acknowledges that it has a role in ensuring that RDM activities, including services, are supported financially</w:t>
            </w:r>
            <w:r w:rsidR="002D12E1">
              <w:rPr>
                <w:rStyle w:val="EndnoteReference"/>
                <w:rFonts w:eastAsiaTheme="minorEastAsia"/>
              </w:rPr>
              <w:endnoteReference w:id="6"/>
            </w:r>
            <w:r w:rsidRPr="008544EF">
              <w:rPr>
                <w:rFonts w:eastAsiaTheme="minorEastAsia"/>
              </w:rPr>
              <w:t xml:space="preserve"> and discusses with RPOs and RDIs what this should entail.</w:t>
            </w:r>
          </w:p>
          <w:p w14:paraId="091FBD57" w14:textId="77777777" w:rsidR="008544EF" w:rsidRPr="008544EF" w:rsidRDefault="008544EF" w:rsidP="008544EF">
            <w:pPr>
              <w:pStyle w:val="TableList"/>
              <w:rPr>
                <w:rFonts w:eastAsiaTheme="minorEastAsia"/>
              </w:rPr>
            </w:pPr>
            <w:r w:rsidRPr="008544EF">
              <w:rPr>
                <w:rFonts w:eastAsiaTheme="minorEastAsia"/>
              </w:rPr>
              <w:t xml:space="preserve">RFO acknowledges that RDM is a shared endeavour and that combining resources may lead to economies of scale. </w:t>
            </w:r>
          </w:p>
          <w:p w14:paraId="09F7FA80" w14:textId="21AF7A77" w:rsidR="0002199D" w:rsidRPr="00EF5B9F" w:rsidRDefault="008544EF" w:rsidP="008544EF">
            <w:pPr>
              <w:pStyle w:val="TableList"/>
              <w:rPr>
                <w:rFonts w:eastAsiaTheme="minorEastAsia"/>
              </w:rPr>
            </w:pPr>
            <w:r w:rsidRPr="008544EF">
              <w:rPr>
                <w:rFonts w:eastAsiaTheme="minorEastAsia"/>
              </w:rPr>
              <w:t>RFO makes some funding available but funding is not integrated into a comprehensive RDM strategy.</w:t>
            </w:r>
          </w:p>
        </w:tc>
        <w:tc>
          <w:tcPr>
            <w:tcW w:w="1100" w:type="pct"/>
            <w:shd w:val="clear" w:color="auto" w:fill="FFFFFF" w:themeFill="background1"/>
          </w:tcPr>
          <w:p w14:paraId="6967B16C" w14:textId="77777777" w:rsidR="008544EF" w:rsidRPr="008544EF" w:rsidRDefault="008544EF" w:rsidP="008544EF">
            <w:pPr>
              <w:pStyle w:val="TableList"/>
              <w:rPr>
                <w:rFonts w:eastAsiaTheme="minorEastAsia"/>
              </w:rPr>
            </w:pPr>
            <w:r w:rsidRPr="008544EF">
              <w:rPr>
                <w:rFonts w:eastAsiaTheme="minorEastAsia"/>
              </w:rPr>
              <w:t>RFO has defined an initial budget allocation for RDM and areas that should be financed. This might be a short-term, interim response awaiting effective longer-term plans.</w:t>
            </w:r>
          </w:p>
          <w:p w14:paraId="4A0E686E" w14:textId="77777777" w:rsidR="008544EF" w:rsidRPr="008544EF" w:rsidRDefault="008544EF" w:rsidP="008544EF">
            <w:pPr>
              <w:pStyle w:val="TableList"/>
              <w:rPr>
                <w:rFonts w:eastAsiaTheme="minorEastAsia"/>
              </w:rPr>
            </w:pPr>
            <w:r w:rsidRPr="008544EF">
              <w:rPr>
                <w:rFonts w:eastAsiaTheme="minorEastAsia"/>
              </w:rPr>
              <w:t>RFO funds RDM primarily on a project-by-project basis, without an overall investment strategy.</w:t>
            </w:r>
          </w:p>
          <w:p w14:paraId="25C928E4" w14:textId="77777777" w:rsidR="008544EF" w:rsidRPr="008544EF" w:rsidRDefault="008544EF" w:rsidP="008544EF">
            <w:pPr>
              <w:pStyle w:val="TableList"/>
              <w:rPr>
                <w:rFonts w:eastAsiaTheme="minorEastAsia"/>
              </w:rPr>
            </w:pPr>
            <w:r w:rsidRPr="008544EF">
              <w:rPr>
                <w:rFonts w:eastAsiaTheme="minorEastAsia"/>
              </w:rPr>
              <w:t>Funding might be used to incentivise RDM activities within research projects.</w:t>
            </w:r>
          </w:p>
          <w:p w14:paraId="31328001" w14:textId="77777777" w:rsidR="008544EF" w:rsidRPr="008544EF" w:rsidRDefault="008544EF" w:rsidP="008544EF">
            <w:pPr>
              <w:pStyle w:val="TableList"/>
              <w:rPr>
                <w:rFonts w:eastAsiaTheme="minorEastAsia"/>
              </w:rPr>
            </w:pPr>
            <w:r w:rsidRPr="008544EF">
              <w:rPr>
                <w:rFonts w:eastAsiaTheme="minorEastAsia"/>
              </w:rPr>
              <w:lastRenderedPageBreak/>
              <w:t>RFO actively explores opportunities for co-operation with other stakeholders to realise efficiencies and economies of scale.</w:t>
            </w:r>
          </w:p>
          <w:p w14:paraId="20F91265" w14:textId="796583A5" w:rsidR="0002199D" w:rsidRPr="00EF5B9F" w:rsidRDefault="008544EF" w:rsidP="008544EF">
            <w:pPr>
              <w:pStyle w:val="TableList"/>
              <w:rPr>
                <w:rFonts w:eastAsiaTheme="minorEastAsia"/>
              </w:rPr>
            </w:pPr>
            <w:r w:rsidRPr="008544EF">
              <w:rPr>
                <w:rFonts w:eastAsiaTheme="minorEastAsia"/>
              </w:rPr>
              <w:t>RFO foresees funding to support training and development of basic and domain-specific RDM skills and awareness raising for all researchers.</w:t>
            </w:r>
          </w:p>
        </w:tc>
        <w:tc>
          <w:tcPr>
            <w:tcW w:w="1100" w:type="pct"/>
            <w:shd w:val="clear" w:color="auto" w:fill="FFFFFF" w:themeFill="background1"/>
          </w:tcPr>
          <w:p w14:paraId="76B28574" w14:textId="77777777" w:rsidR="008544EF" w:rsidRPr="008544EF" w:rsidRDefault="008544EF" w:rsidP="008544EF">
            <w:pPr>
              <w:pStyle w:val="TableList"/>
              <w:rPr>
                <w:rFonts w:eastAsiaTheme="minorEastAsia"/>
              </w:rPr>
            </w:pPr>
            <w:r w:rsidRPr="008544EF">
              <w:rPr>
                <w:rFonts w:eastAsiaTheme="minorEastAsia"/>
              </w:rPr>
              <w:lastRenderedPageBreak/>
              <w:t>RFO acknowledges RDM as a fundable element of the research process.</w:t>
            </w:r>
          </w:p>
          <w:p w14:paraId="39B69BD1" w14:textId="77777777" w:rsidR="008544EF" w:rsidRPr="008544EF" w:rsidRDefault="008544EF" w:rsidP="008544EF">
            <w:pPr>
              <w:pStyle w:val="TableList"/>
              <w:rPr>
                <w:rFonts w:eastAsiaTheme="minorEastAsia"/>
              </w:rPr>
            </w:pPr>
            <w:r w:rsidRPr="008544EF">
              <w:rPr>
                <w:rFonts w:eastAsiaTheme="minorEastAsia"/>
              </w:rPr>
              <w:t>RFO has an enhanced, longer-term investment plan to support its RDM strategy, including the recognition that the RFO must provide funding for the development of training and for RDM infrastructure operations activities beyond the life of a given project or programme.</w:t>
            </w:r>
          </w:p>
          <w:p w14:paraId="6DF7F966" w14:textId="23C65AD7" w:rsidR="0002199D" w:rsidRPr="008544EF" w:rsidRDefault="008544EF" w:rsidP="008544EF">
            <w:pPr>
              <w:pStyle w:val="TableList"/>
              <w:rPr>
                <w:rFonts w:eastAsiaTheme="minorEastAsia"/>
              </w:rPr>
            </w:pPr>
            <w:r w:rsidRPr="008544EF">
              <w:rPr>
                <w:rFonts w:eastAsiaTheme="minorEastAsia"/>
              </w:rPr>
              <w:lastRenderedPageBreak/>
              <w:t>RFO expects that supported RPOs and RDIs strive to gain best value for money through joint programmes, common systems and so on, and collaborates with other RFOs to achieve this.</w:t>
            </w:r>
          </w:p>
        </w:tc>
        <w:tc>
          <w:tcPr>
            <w:tcW w:w="1100" w:type="pct"/>
            <w:shd w:val="clear" w:color="auto" w:fill="FFFFFF" w:themeFill="background1"/>
          </w:tcPr>
          <w:p w14:paraId="43F12366" w14:textId="77777777" w:rsidR="008544EF" w:rsidRDefault="008544EF" w:rsidP="008544EF">
            <w:pPr>
              <w:pStyle w:val="TableList"/>
            </w:pPr>
            <w:r>
              <w:lastRenderedPageBreak/>
              <w:t xml:space="preserve">RFO is part of an agreement on an (inter)national investment strategy for RDM to ensure a level playing field between RFOs, RPOs, RDIs, and research communities. </w:t>
            </w:r>
          </w:p>
          <w:p w14:paraId="14E7EA02" w14:textId="77777777" w:rsidR="008544EF" w:rsidRDefault="008544EF" w:rsidP="008544EF">
            <w:pPr>
              <w:pStyle w:val="TableList"/>
            </w:pPr>
            <w:r>
              <w:t>RFO provides clear indications on long-term funding periods and allocation of funds.</w:t>
            </w:r>
          </w:p>
          <w:p w14:paraId="2008FC0F" w14:textId="77777777" w:rsidR="008544EF" w:rsidRDefault="008544EF" w:rsidP="008544EF">
            <w:pPr>
              <w:pStyle w:val="TableList"/>
            </w:pPr>
            <w:r>
              <w:t>RFO provides funding programmes for training development and activities to sustain the operation of RDM infrastructure.</w:t>
            </w:r>
          </w:p>
          <w:p w14:paraId="7FD9307E" w14:textId="13BAA12C" w:rsidR="0002199D" w:rsidRPr="00BF0E93" w:rsidRDefault="008544EF" w:rsidP="008544EF">
            <w:pPr>
              <w:pStyle w:val="TableList"/>
            </w:pPr>
            <w:r>
              <w:lastRenderedPageBreak/>
              <w:t>RFO enables/supports publicly funded RDIs to develop sustainable business models, including clarification of the role of the private sector, shared services, and opportunities for commercial use of data.</w:t>
            </w:r>
          </w:p>
        </w:tc>
      </w:tr>
      <w:tr w:rsidR="00854B34" w14:paraId="1E6C4756" w14:textId="77777777" w:rsidTr="000C5AFC">
        <w:tc>
          <w:tcPr>
            <w:tcW w:w="600" w:type="pct"/>
            <w:shd w:val="clear" w:color="auto" w:fill="F3F7EF"/>
          </w:tcPr>
          <w:p w14:paraId="2FA64A4D" w14:textId="77777777" w:rsidR="0002199D" w:rsidRDefault="0002199D" w:rsidP="00A05186">
            <w:pPr>
              <w:pStyle w:val="TableIndex"/>
            </w:pPr>
            <w:r w:rsidRPr="0002199D">
              <w:lastRenderedPageBreak/>
              <w:t>Training</w:t>
            </w:r>
          </w:p>
          <w:p w14:paraId="393B0B8E" w14:textId="2A970D9B" w:rsidR="000C5AFC" w:rsidRPr="000C5AFC" w:rsidRDefault="000C5AFC" w:rsidP="000C5AFC">
            <w:pPr>
              <w:pStyle w:val="NoSpacing"/>
              <w:jc w:val="left"/>
              <w:rPr>
                <w:i/>
                <w:iCs/>
                <w:sz w:val="19"/>
                <w:szCs w:val="19"/>
              </w:rPr>
            </w:pPr>
            <w:r w:rsidRPr="000C5AFC">
              <w:rPr>
                <w:i/>
                <w:iCs/>
                <w:sz w:val="19"/>
                <w:szCs w:val="19"/>
              </w:rPr>
              <w:t>Note: An RFO will probably not provide training for researchers, however, it will expect RPOs to ensure the researchers they support are effectively trained. In many cases an RFO will provide internal training for their staff.</w:t>
            </w:r>
          </w:p>
        </w:tc>
        <w:tc>
          <w:tcPr>
            <w:tcW w:w="1100" w:type="pct"/>
            <w:shd w:val="clear" w:color="auto" w:fill="F3F7EF"/>
          </w:tcPr>
          <w:p w14:paraId="5F059317" w14:textId="77777777" w:rsidR="008544EF" w:rsidRPr="008544EF" w:rsidRDefault="008544EF" w:rsidP="008544EF">
            <w:pPr>
              <w:pStyle w:val="TableList"/>
              <w:rPr>
                <w:rFonts w:eastAsiaTheme="minorEastAsia"/>
              </w:rPr>
            </w:pPr>
            <w:r w:rsidRPr="008544EF">
              <w:rPr>
                <w:rFonts w:eastAsiaTheme="minorEastAsia"/>
              </w:rPr>
              <w:t>RFO acknowledges the importance of RDM training.</w:t>
            </w:r>
          </w:p>
          <w:p w14:paraId="73E8C147" w14:textId="77777777" w:rsidR="008544EF" w:rsidRPr="008544EF" w:rsidRDefault="008544EF" w:rsidP="008544EF">
            <w:pPr>
              <w:pStyle w:val="TableList"/>
              <w:rPr>
                <w:rFonts w:eastAsiaTheme="minorEastAsia"/>
              </w:rPr>
            </w:pPr>
            <w:r w:rsidRPr="008544EF">
              <w:rPr>
                <w:rFonts w:eastAsiaTheme="minorEastAsia"/>
              </w:rPr>
              <w:t>RFO consults with stakeholders (such as RPOs and RDIs) on likely training requirements.</w:t>
            </w:r>
          </w:p>
          <w:p w14:paraId="29370A9F" w14:textId="4E63AAB0" w:rsidR="0002199D" w:rsidRPr="008544EF" w:rsidRDefault="008544EF" w:rsidP="008544EF">
            <w:pPr>
              <w:pStyle w:val="TableList"/>
              <w:rPr>
                <w:rFonts w:eastAsiaTheme="minorEastAsia"/>
              </w:rPr>
            </w:pPr>
            <w:r w:rsidRPr="008544EF">
              <w:rPr>
                <w:rFonts w:eastAsiaTheme="minorEastAsia"/>
              </w:rPr>
              <w:t>RFO identifies existing training available.</w:t>
            </w:r>
          </w:p>
        </w:tc>
        <w:tc>
          <w:tcPr>
            <w:tcW w:w="1100" w:type="pct"/>
            <w:shd w:val="clear" w:color="auto" w:fill="F3F7EF"/>
          </w:tcPr>
          <w:p w14:paraId="71883D0B" w14:textId="77777777" w:rsidR="008544EF" w:rsidRPr="008544EF" w:rsidRDefault="008544EF" w:rsidP="008544EF">
            <w:pPr>
              <w:pStyle w:val="TableList"/>
              <w:rPr>
                <w:rFonts w:eastAsiaTheme="minorEastAsia"/>
              </w:rPr>
            </w:pPr>
            <w:r w:rsidRPr="008544EF">
              <w:rPr>
                <w:rFonts w:eastAsiaTheme="minorEastAsia"/>
              </w:rPr>
              <w:t>RFO clarifies responsibilities for RFO, RPOs, and RDIs with the other organisations and develops training plans for RDM to cross-link to RPO curricula and training undertaken within RPOs and RDIs.</w:t>
            </w:r>
          </w:p>
          <w:p w14:paraId="5D561D45" w14:textId="129ABFFE" w:rsidR="0002199D" w:rsidRPr="00EF5B9F" w:rsidRDefault="008544EF" w:rsidP="008544EF">
            <w:pPr>
              <w:pStyle w:val="TableList"/>
              <w:rPr>
                <w:rFonts w:eastAsiaTheme="minorEastAsia"/>
              </w:rPr>
            </w:pPr>
            <w:r w:rsidRPr="008544EF">
              <w:rPr>
                <w:rFonts w:eastAsiaTheme="minorEastAsia"/>
              </w:rPr>
              <w:t>RFO supports training development on basic and domain-specific RDM skills and awareness raising for all researchers.</w:t>
            </w:r>
          </w:p>
        </w:tc>
        <w:tc>
          <w:tcPr>
            <w:tcW w:w="1100" w:type="pct"/>
            <w:shd w:val="clear" w:color="auto" w:fill="F3F7EF"/>
          </w:tcPr>
          <w:p w14:paraId="4851D2EA" w14:textId="77777777" w:rsidR="008544EF" w:rsidRPr="008544EF" w:rsidRDefault="008544EF" w:rsidP="008544EF">
            <w:pPr>
              <w:pStyle w:val="TableList"/>
              <w:rPr>
                <w:rFonts w:eastAsiaTheme="minorEastAsia"/>
              </w:rPr>
            </w:pPr>
            <w:r w:rsidRPr="008544EF">
              <w:rPr>
                <w:rFonts w:eastAsiaTheme="minorEastAsia"/>
              </w:rPr>
              <w:t>RFO supports the community to develop expected RDM competency levels (in conjunction with RPOs and RDIs). This should include developing a common understanding of the benefits of FAIR data, and compliance with legal requirements (for example in relation to data protection).</w:t>
            </w:r>
          </w:p>
          <w:p w14:paraId="489855F1" w14:textId="06152F15" w:rsidR="0002199D" w:rsidRPr="00093EEC" w:rsidRDefault="008544EF" w:rsidP="008544EF">
            <w:pPr>
              <w:pStyle w:val="TableList"/>
              <w:rPr>
                <w:rFonts w:eastAsiaTheme="minorEastAsia"/>
              </w:rPr>
            </w:pPr>
            <w:r w:rsidRPr="008544EF">
              <w:rPr>
                <w:rFonts w:eastAsiaTheme="minorEastAsia"/>
              </w:rPr>
              <w:t>RFO expects training in effective RDM skills as a core element of support provided to researchers. It clarifies responsibilities for training with other organisations and supports the provision of specific advanced training.</w:t>
            </w:r>
          </w:p>
        </w:tc>
        <w:tc>
          <w:tcPr>
            <w:tcW w:w="1100" w:type="pct"/>
            <w:shd w:val="clear" w:color="auto" w:fill="F3F7EF"/>
          </w:tcPr>
          <w:p w14:paraId="2668DEE3" w14:textId="77777777" w:rsidR="008544EF" w:rsidRDefault="008544EF" w:rsidP="008544EF">
            <w:pPr>
              <w:pStyle w:val="TableList"/>
            </w:pPr>
            <w:r>
              <w:t>RFO supports the development and implementation of (inter)national RDM competency levels and training curriculum.</w:t>
            </w:r>
          </w:p>
          <w:p w14:paraId="2463A98D" w14:textId="203B76F8" w:rsidR="0002199D" w:rsidRPr="00EF5B9F" w:rsidRDefault="008544EF" w:rsidP="008544EF">
            <w:pPr>
              <w:pStyle w:val="TableList"/>
            </w:pPr>
            <w:r>
              <w:t>RFO collaborates with RFOs and RPOs on (inter)national level to define responsibilities for training and sources of related funding.</w:t>
            </w:r>
          </w:p>
        </w:tc>
      </w:tr>
      <w:tr w:rsidR="0002199D" w14:paraId="465DE552" w14:textId="77777777" w:rsidTr="000C5AFC">
        <w:tc>
          <w:tcPr>
            <w:tcW w:w="600" w:type="pct"/>
            <w:shd w:val="clear" w:color="auto" w:fill="FFFFFF" w:themeFill="background1"/>
          </w:tcPr>
          <w:p w14:paraId="3AF9822A" w14:textId="77777777" w:rsidR="0002199D" w:rsidRPr="0002199D" w:rsidRDefault="0002199D" w:rsidP="00A05186">
            <w:pPr>
              <w:pStyle w:val="TableIndex"/>
            </w:pPr>
            <w:r w:rsidRPr="0002199D">
              <w:t xml:space="preserve">Technical Preparedness </w:t>
            </w:r>
          </w:p>
        </w:tc>
        <w:tc>
          <w:tcPr>
            <w:tcW w:w="1100" w:type="pct"/>
            <w:shd w:val="clear" w:color="auto" w:fill="FFFFFF" w:themeFill="background1"/>
          </w:tcPr>
          <w:p w14:paraId="78D7DFA0" w14:textId="77777777" w:rsidR="008544EF" w:rsidRPr="008544EF" w:rsidRDefault="008544EF" w:rsidP="008544EF">
            <w:pPr>
              <w:pStyle w:val="TableList"/>
              <w:rPr>
                <w:rFonts w:eastAsiaTheme="minorEastAsia"/>
              </w:rPr>
            </w:pPr>
            <w:r w:rsidRPr="008544EF">
              <w:rPr>
                <w:rFonts w:eastAsiaTheme="minorEastAsia"/>
              </w:rPr>
              <w:t>RFO acknowledges that it has a role in supporting the technical environment for RDM, such as collaborating with other stakeholders (RPOs, RDIs, scientific communities) to identify appropriate standards, and through funding the use of RDIs.</w:t>
            </w:r>
          </w:p>
          <w:p w14:paraId="0CAAF3BD" w14:textId="77777777" w:rsidR="008544EF" w:rsidRPr="008544EF" w:rsidRDefault="008544EF" w:rsidP="008544EF">
            <w:pPr>
              <w:pStyle w:val="TableList"/>
              <w:rPr>
                <w:rFonts w:eastAsiaTheme="minorEastAsia"/>
              </w:rPr>
            </w:pPr>
            <w:r w:rsidRPr="008544EF">
              <w:rPr>
                <w:rFonts w:eastAsiaTheme="minorEastAsia"/>
              </w:rPr>
              <w:lastRenderedPageBreak/>
              <w:t>RFO establishes an internal awareness on management level regarding the allocation of appropriate resources.</w:t>
            </w:r>
          </w:p>
          <w:p w14:paraId="46283900" w14:textId="155561D2" w:rsidR="0002199D" w:rsidRPr="00EF5B9F" w:rsidRDefault="008544EF" w:rsidP="008544EF">
            <w:pPr>
              <w:pStyle w:val="TableList"/>
              <w:rPr>
                <w:rFonts w:eastAsiaTheme="minorEastAsia"/>
              </w:rPr>
            </w:pPr>
            <w:r w:rsidRPr="008544EF">
              <w:rPr>
                <w:rFonts w:eastAsiaTheme="minorEastAsia"/>
              </w:rPr>
              <w:t>RFO considers the value of joint working shared services between RFOs, RPOs, and RDIs.</w:t>
            </w:r>
          </w:p>
        </w:tc>
        <w:tc>
          <w:tcPr>
            <w:tcW w:w="1100" w:type="pct"/>
            <w:shd w:val="clear" w:color="auto" w:fill="FFFFFF" w:themeFill="background1"/>
          </w:tcPr>
          <w:p w14:paraId="31F857EC" w14:textId="77777777" w:rsidR="008544EF" w:rsidRDefault="008544EF" w:rsidP="008544EF">
            <w:pPr>
              <w:pStyle w:val="TableList"/>
            </w:pPr>
            <w:r>
              <w:lastRenderedPageBreak/>
              <w:t>RFO supports work with RPOs, RDIs, and research communities to identify appropriate metadata standards and required infrastructure and services.</w:t>
            </w:r>
          </w:p>
          <w:p w14:paraId="1F51C5C3" w14:textId="77777777" w:rsidR="008544EF" w:rsidRDefault="008544EF" w:rsidP="008544EF">
            <w:pPr>
              <w:pStyle w:val="TableList"/>
            </w:pPr>
            <w:r>
              <w:lastRenderedPageBreak/>
              <w:t>RFO has awareness building measures in place and aims to ensure that disciplinary differences with respect to RDM are recognised in an effective and efficient technical implementation.</w:t>
            </w:r>
          </w:p>
          <w:p w14:paraId="3205B6D7" w14:textId="1F1C9931" w:rsidR="0002199D" w:rsidRPr="00EF5B9F" w:rsidRDefault="008544EF" w:rsidP="008544EF">
            <w:pPr>
              <w:pStyle w:val="TableList"/>
            </w:pPr>
            <w:r>
              <w:t>RFO develops mechanisms to support joint working, development of shared services, and so on, to help deliver economies of scale.</w:t>
            </w:r>
          </w:p>
        </w:tc>
        <w:tc>
          <w:tcPr>
            <w:tcW w:w="1100" w:type="pct"/>
            <w:shd w:val="clear" w:color="auto" w:fill="FFFFFF" w:themeFill="background1"/>
          </w:tcPr>
          <w:p w14:paraId="702B6BE3" w14:textId="77777777" w:rsidR="008544EF" w:rsidRDefault="008544EF" w:rsidP="008544EF">
            <w:pPr>
              <w:pStyle w:val="TableList"/>
            </w:pPr>
            <w:r>
              <w:lastRenderedPageBreak/>
              <w:t>RFO acknowledges that RDM is an international shared endeavour, best achieved through federation of services, joint working, and joint facilities (such as EOSC).</w:t>
            </w:r>
          </w:p>
          <w:p w14:paraId="4CD6DF05" w14:textId="77777777" w:rsidR="008544EF" w:rsidRDefault="008544EF" w:rsidP="008544EF">
            <w:pPr>
              <w:pStyle w:val="TableList"/>
            </w:pPr>
            <w:r>
              <w:lastRenderedPageBreak/>
              <w:t>RFO has an RDM technical plan in place to ensure FAIR data. The plan includes the provision of RDM infrastructure and the promotion of interoperability as strategic choices.</w:t>
            </w:r>
          </w:p>
          <w:p w14:paraId="6A36B0E2" w14:textId="77777777" w:rsidR="008544EF" w:rsidRDefault="008544EF" w:rsidP="008544EF">
            <w:pPr>
              <w:pStyle w:val="TableList"/>
            </w:pPr>
            <w:r>
              <w:t>RFO agrees with all stakeholders on the limits of responsibility of the RFO, including specific allocation of funds and definition of responsibilities.</w:t>
            </w:r>
          </w:p>
          <w:p w14:paraId="4F2CC7C9" w14:textId="77777777" w:rsidR="008544EF" w:rsidRDefault="008544EF" w:rsidP="008544EF">
            <w:pPr>
              <w:pStyle w:val="TableList"/>
            </w:pPr>
            <w:r>
              <w:t>RFO has established communication and co-operation channels with other stakeholders on a national level.</w:t>
            </w:r>
          </w:p>
          <w:p w14:paraId="20441619" w14:textId="03F94343" w:rsidR="0002199D" w:rsidRPr="00777917" w:rsidRDefault="008544EF" w:rsidP="008544EF">
            <w:pPr>
              <w:pStyle w:val="TableList"/>
            </w:pPr>
            <w:r>
              <w:t>Collaboration, shared services, and so on become the default. A default funding model should enhance existing provisions rather than developing new ones, unless there is a very clear business case for this.</w:t>
            </w:r>
          </w:p>
        </w:tc>
        <w:tc>
          <w:tcPr>
            <w:tcW w:w="1100" w:type="pct"/>
            <w:shd w:val="clear" w:color="auto" w:fill="FFFFFF" w:themeFill="background1"/>
          </w:tcPr>
          <w:p w14:paraId="7DE61A3C" w14:textId="77777777" w:rsidR="008544EF" w:rsidRDefault="008544EF" w:rsidP="008544EF">
            <w:pPr>
              <w:pStyle w:val="TableList"/>
            </w:pPr>
            <w:r>
              <w:lastRenderedPageBreak/>
              <w:t>RFO has established exchanges with other research stakeholders on international level on technology issues.</w:t>
            </w:r>
          </w:p>
          <w:p w14:paraId="7F896C2D" w14:textId="77777777" w:rsidR="008544EF" w:rsidRDefault="008544EF" w:rsidP="008544EF">
            <w:pPr>
              <w:pStyle w:val="TableList"/>
            </w:pPr>
            <w:r>
              <w:lastRenderedPageBreak/>
              <w:t>RFO is part of a joined up (inter)national RDM technical approach across all RFOs to ensure RDM infrastructures reflect wider best practice for sustainability.</w:t>
            </w:r>
          </w:p>
          <w:p w14:paraId="5607E844" w14:textId="77777777" w:rsidR="008544EF" w:rsidRDefault="008544EF" w:rsidP="008544EF">
            <w:pPr>
              <w:pStyle w:val="TableList"/>
            </w:pPr>
            <w:r>
              <w:t>RFO aims to provide a level playing field and equal access to RDM infrastructure in collaboration with other organisations, so that access to infrastructure is no longer a barrier to doing effective RDM.</w:t>
            </w:r>
          </w:p>
          <w:p w14:paraId="08666487" w14:textId="77777777" w:rsidR="008544EF" w:rsidRDefault="008544EF" w:rsidP="008544EF">
            <w:pPr>
              <w:pStyle w:val="TableList"/>
            </w:pPr>
            <w:r>
              <w:t>RFO has strategic planning in place to match RDM requirements and IT infrastructure.</w:t>
            </w:r>
          </w:p>
          <w:p w14:paraId="1FC792F8" w14:textId="5B2B5121" w:rsidR="0002199D" w:rsidRPr="00EF5B9F" w:rsidRDefault="008544EF" w:rsidP="008544EF">
            <w:pPr>
              <w:pStyle w:val="TableList"/>
            </w:pPr>
            <w:r>
              <w:t>RFO develops innovative business models involving private sector participation.</w:t>
            </w:r>
          </w:p>
        </w:tc>
      </w:tr>
      <w:tr w:rsidR="0002199D" w14:paraId="757EA515" w14:textId="77777777" w:rsidTr="000C5AFC">
        <w:tc>
          <w:tcPr>
            <w:tcW w:w="600" w:type="pct"/>
            <w:shd w:val="clear" w:color="auto" w:fill="F3F7EF"/>
          </w:tcPr>
          <w:p w14:paraId="1B336198" w14:textId="77777777" w:rsidR="0002199D" w:rsidRPr="0002199D" w:rsidRDefault="0002199D" w:rsidP="00A05186">
            <w:pPr>
              <w:pStyle w:val="TableIndex"/>
            </w:pPr>
            <w:r w:rsidRPr="0002199D">
              <w:lastRenderedPageBreak/>
              <w:t>Communication and Awareness Raising</w:t>
            </w:r>
          </w:p>
        </w:tc>
        <w:tc>
          <w:tcPr>
            <w:tcW w:w="1100" w:type="pct"/>
            <w:shd w:val="clear" w:color="auto" w:fill="F3F7EF"/>
          </w:tcPr>
          <w:p w14:paraId="749FF00A" w14:textId="77777777" w:rsidR="008544EF" w:rsidRPr="008544EF" w:rsidRDefault="008544EF" w:rsidP="008544EF">
            <w:pPr>
              <w:pStyle w:val="TableList"/>
              <w:rPr>
                <w:rFonts w:eastAsiaTheme="minorEastAsia"/>
              </w:rPr>
            </w:pPr>
            <w:r w:rsidRPr="008544EF">
              <w:rPr>
                <w:rFonts w:eastAsiaTheme="minorEastAsia"/>
              </w:rPr>
              <w:t>RFO develops its agenda for research data, in collaboration with other stakeholders (such as government, RPOs).</w:t>
            </w:r>
          </w:p>
          <w:p w14:paraId="36C8A4AC" w14:textId="77777777" w:rsidR="008544EF" w:rsidRPr="008544EF" w:rsidRDefault="008544EF" w:rsidP="008544EF">
            <w:pPr>
              <w:pStyle w:val="TableList"/>
              <w:rPr>
                <w:rFonts w:eastAsiaTheme="minorEastAsia"/>
              </w:rPr>
            </w:pPr>
            <w:r w:rsidRPr="008544EF">
              <w:rPr>
                <w:rFonts w:eastAsiaTheme="minorEastAsia"/>
              </w:rPr>
              <w:t xml:space="preserve">RFO plans and initiates a process to engage all stakeholders in the dialogue on the importance of RDM issues. </w:t>
            </w:r>
          </w:p>
          <w:p w14:paraId="65516B5E" w14:textId="10D9A3AC" w:rsidR="0002199D" w:rsidRPr="008544EF" w:rsidRDefault="008544EF" w:rsidP="008544EF">
            <w:pPr>
              <w:pStyle w:val="TableList"/>
              <w:rPr>
                <w:rFonts w:eastAsiaTheme="minorEastAsia"/>
              </w:rPr>
            </w:pPr>
            <w:r w:rsidRPr="008544EF">
              <w:rPr>
                <w:rFonts w:eastAsiaTheme="minorEastAsia"/>
              </w:rPr>
              <w:t>RFO develops public statements of intent around the importance of research data and RDM.</w:t>
            </w:r>
          </w:p>
        </w:tc>
        <w:tc>
          <w:tcPr>
            <w:tcW w:w="1100" w:type="pct"/>
            <w:shd w:val="clear" w:color="auto" w:fill="F3F7EF"/>
          </w:tcPr>
          <w:p w14:paraId="60F67006" w14:textId="77777777" w:rsidR="008544EF" w:rsidRDefault="008544EF" w:rsidP="008544EF">
            <w:pPr>
              <w:pStyle w:val="TableList"/>
            </w:pPr>
            <w:r>
              <w:t>RFO has established communication pathways to engage RPOs, RDIs and researchers supported by the RFO on the agenda for research data.</w:t>
            </w:r>
          </w:p>
          <w:p w14:paraId="69347CC1" w14:textId="77777777" w:rsidR="008544EF" w:rsidRDefault="008544EF" w:rsidP="008544EF">
            <w:pPr>
              <w:pStyle w:val="TableList"/>
            </w:pPr>
            <w:r>
              <w:t>RFO has developed communication materials to show how it addresses the issue strategically and to underline that RDM is a shared endeavour by all stakeholders.</w:t>
            </w:r>
          </w:p>
          <w:p w14:paraId="1DA2EB81" w14:textId="77777777" w:rsidR="008544EF" w:rsidRDefault="008544EF" w:rsidP="008544EF">
            <w:pPr>
              <w:pStyle w:val="TableList"/>
            </w:pPr>
            <w:r>
              <w:lastRenderedPageBreak/>
              <w:t>RFO has identified and highlighted best practices/projects from its funding activities and provides information about associated costs.</w:t>
            </w:r>
          </w:p>
          <w:p w14:paraId="0E318337" w14:textId="77777777" w:rsidR="008544EF" w:rsidRDefault="008544EF" w:rsidP="008544EF">
            <w:pPr>
              <w:pStyle w:val="TableList"/>
            </w:pPr>
            <w:r>
              <w:t>RFO collaborates with other related organisations to help develop and advance the agenda for research data.</w:t>
            </w:r>
          </w:p>
          <w:p w14:paraId="739AB7F9" w14:textId="04499CD6" w:rsidR="0002199D" w:rsidRPr="00EF5B9F" w:rsidRDefault="008544EF" w:rsidP="008544EF">
            <w:pPr>
              <w:pStyle w:val="TableList"/>
            </w:pPr>
            <w:r>
              <w:t xml:space="preserve">RFO acknowledges that RDM is part of research processes and should not be seen as anything out of the ordinary. </w:t>
            </w:r>
          </w:p>
        </w:tc>
        <w:tc>
          <w:tcPr>
            <w:tcW w:w="1100" w:type="pct"/>
            <w:shd w:val="clear" w:color="auto" w:fill="F3F7EF"/>
          </w:tcPr>
          <w:p w14:paraId="6F7FDC0B" w14:textId="77777777" w:rsidR="008544EF" w:rsidRPr="008544EF" w:rsidRDefault="008544EF" w:rsidP="008544EF">
            <w:pPr>
              <w:pStyle w:val="TableList"/>
              <w:rPr>
                <w:rFonts w:eastAsiaTheme="minorEastAsia"/>
              </w:rPr>
            </w:pPr>
            <w:r w:rsidRPr="008544EF">
              <w:rPr>
                <w:rFonts w:eastAsiaTheme="minorEastAsia"/>
              </w:rPr>
              <w:lastRenderedPageBreak/>
              <w:t>RFO provides well-developed communication materials and pathways, stressing the importance of RDM, the roles of each key stakeholder, and the commitment of the RFO towards RDM (the agenda for research data).</w:t>
            </w:r>
          </w:p>
          <w:p w14:paraId="17298E02" w14:textId="77777777" w:rsidR="008544EF" w:rsidRPr="008544EF" w:rsidRDefault="008544EF" w:rsidP="008544EF">
            <w:pPr>
              <w:pStyle w:val="TableList"/>
              <w:rPr>
                <w:rFonts w:eastAsiaTheme="minorEastAsia"/>
              </w:rPr>
            </w:pPr>
            <w:r w:rsidRPr="008544EF">
              <w:rPr>
                <w:rFonts w:eastAsiaTheme="minorEastAsia"/>
              </w:rPr>
              <w:t>RFO clearly communicates the support RFOs offer for RDM capacity building and specialist careers development.</w:t>
            </w:r>
          </w:p>
          <w:p w14:paraId="30399E72" w14:textId="77777777" w:rsidR="008544EF" w:rsidRPr="008544EF" w:rsidRDefault="008544EF" w:rsidP="008544EF">
            <w:pPr>
              <w:pStyle w:val="TableList"/>
              <w:rPr>
                <w:rFonts w:eastAsiaTheme="minorEastAsia"/>
              </w:rPr>
            </w:pPr>
            <w:r w:rsidRPr="008544EF">
              <w:rPr>
                <w:rFonts w:eastAsiaTheme="minorEastAsia"/>
              </w:rPr>
              <w:lastRenderedPageBreak/>
              <w:t>RFO actively engages with the community to make RDM a shared endeavour across the RFO’s research community.</w:t>
            </w:r>
          </w:p>
          <w:p w14:paraId="2D804C57" w14:textId="77777777" w:rsidR="008544EF" w:rsidRPr="008544EF" w:rsidRDefault="008544EF" w:rsidP="008544EF">
            <w:pPr>
              <w:pStyle w:val="TableList"/>
              <w:rPr>
                <w:rFonts w:eastAsiaTheme="minorEastAsia"/>
              </w:rPr>
            </w:pPr>
            <w:r w:rsidRPr="008544EF">
              <w:rPr>
                <w:rFonts w:eastAsiaTheme="minorEastAsia"/>
              </w:rPr>
              <w:t xml:space="preserve">RFO has established effective RDM as part of research processes and does not see it as something out of the ordinary. </w:t>
            </w:r>
          </w:p>
          <w:p w14:paraId="3F5E892E" w14:textId="2DFD5FAD" w:rsidR="0002199D" w:rsidRPr="00EF5B9F" w:rsidRDefault="008544EF" w:rsidP="008544EF">
            <w:pPr>
              <w:pStyle w:val="TableList"/>
              <w:rPr>
                <w:rFonts w:eastAsiaTheme="minorEastAsia"/>
              </w:rPr>
            </w:pPr>
            <w:r w:rsidRPr="008544EF">
              <w:rPr>
                <w:rFonts w:eastAsiaTheme="minorEastAsia"/>
              </w:rPr>
              <w:t>RFO uses the agenda for research data to communicate objectives to own researchers and staff and beyond.</w:t>
            </w:r>
          </w:p>
        </w:tc>
        <w:tc>
          <w:tcPr>
            <w:tcW w:w="1100" w:type="pct"/>
            <w:shd w:val="clear" w:color="auto" w:fill="F3F7EF"/>
          </w:tcPr>
          <w:p w14:paraId="23F47D7B" w14:textId="3F4D6189" w:rsidR="0002199D" w:rsidRPr="00EF5B9F" w:rsidRDefault="008544EF" w:rsidP="00A05186">
            <w:pPr>
              <w:pStyle w:val="TableList"/>
            </w:pPr>
            <w:r w:rsidRPr="008544EF">
              <w:lastRenderedPageBreak/>
              <w:t>RFO co-ordinates with other RFOs, RPOs, and RDIs (inter)nationally to develop a common agenda for research data.</w:t>
            </w:r>
          </w:p>
        </w:tc>
      </w:tr>
    </w:tbl>
    <w:p w14:paraId="68C603FF" w14:textId="21488B98" w:rsidR="00523691" w:rsidRDefault="00523691" w:rsidP="005512BC">
      <w:pPr>
        <w:pStyle w:val="Heading2"/>
      </w:pPr>
    </w:p>
    <w:sectPr w:rsidR="00523691" w:rsidSect="00523691">
      <w:headerReference w:type="default" r:id="rId16"/>
      <w:footerReference w:type="default" r:id="rId17"/>
      <w:pgSz w:w="16838" w:h="11906" w:orient="landscape"/>
      <w:pgMar w:top="1440" w:right="1440" w:bottom="1440" w:left="144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EE5C2" w14:textId="77777777" w:rsidR="00F43618" w:rsidRDefault="00F43618" w:rsidP="00002204">
      <w:pPr>
        <w:spacing w:after="0" w:line="240" w:lineRule="auto"/>
      </w:pPr>
      <w:r>
        <w:separator/>
      </w:r>
    </w:p>
  </w:endnote>
  <w:endnote w:type="continuationSeparator" w:id="0">
    <w:p w14:paraId="1D721C90" w14:textId="77777777" w:rsidR="00F43618" w:rsidRDefault="00F43618" w:rsidP="00002204">
      <w:pPr>
        <w:spacing w:after="0" w:line="240" w:lineRule="auto"/>
      </w:pPr>
      <w:r>
        <w:continuationSeparator/>
      </w:r>
    </w:p>
  </w:endnote>
  <w:endnote w:id="1">
    <w:p w14:paraId="5FDC51EA" w14:textId="21EAB122" w:rsidR="005512BC" w:rsidRPr="007F2C31" w:rsidRDefault="005512BC" w:rsidP="00A05186">
      <w:pPr>
        <w:pStyle w:val="Footnote"/>
      </w:pPr>
      <w:r w:rsidRPr="007F2C31">
        <w:rPr>
          <w:rStyle w:val="EndnoteReference"/>
        </w:rPr>
        <w:endnoteRef/>
      </w:r>
      <w:r w:rsidRPr="007F2C31">
        <w:t xml:space="preserve"> </w:t>
      </w:r>
      <w:r w:rsidR="00A05186" w:rsidRPr="007F2C31">
        <w:tab/>
      </w:r>
      <w:r w:rsidRPr="007F2C31">
        <w:t>The strategic goals can refer to the timing of taking future actions as well as the decision of which progression step an organisation wants to reach.</w:t>
      </w:r>
    </w:p>
  </w:endnote>
  <w:endnote w:id="2">
    <w:p w14:paraId="59368A25" w14:textId="5F5B3C83" w:rsidR="007F2C31" w:rsidRDefault="007F2C31" w:rsidP="007F2C31">
      <w:pPr>
        <w:pStyle w:val="Footnote"/>
      </w:pPr>
      <w:r w:rsidRPr="007F2C31">
        <w:rPr>
          <w:rStyle w:val="EndnoteReference"/>
        </w:rPr>
        <w:endnoteRef/>
      </w:r>
      <w:r w:rsidRPr="007F2C31">
        <w:t xml:space="preserve"> </w:t>
      </w:r>
      <w:r w:rsidRPr="007F2C31">
        <w:tab/>
        <w:t>The RDM strategy is a core element that cuts across many of the thematic areas. It brings together separate thematic activities into a more organised whole and should not be developed in</w:t>
      </w:r>
      <w:r w:rsidRPr="007F2C31">
        <w:br/>
        <w:t>isolation.</w:t>
      </w:r>
    </w:p>
  </w:endnote>
  <w:endnote w:id="3">
    <w:p w14:paraId="19B944C0" w14:textId="5062BFB4" w:rsidR="002D12E1" w:rsidRDefault="002D12E1" w:rsidP="002D12E1">
      <w:pPr>
        <w:pStyle w:val="Footnote"/>
      </w:pPr>
      <w:r>
        <w:rPr>
          <w:rStyle w:val="EndnoteReference"/>
        </w:rPr>
        <w:endnoteRef/>
      </w:r>
      <w:r>
        <w:t xml:space="preserve"> </w:t>
      </w:r>
      <w:r>
        <w:tab/>
      </w:r>
      <w:r w:rsidRPr="002D12E1">
        <w:t>Implementation of policy must go hand-in-hand with establishment of necessary skills and infrastructure.</w:t>
      </w:r>
    </w:p>
  </w:endnote>
  <w:endnote w:id="4">
    <w:p w14:paraId="225790D5" w14:textId="77614D3B" w:rsidR="002D12E1" w:rsidRDefault="002D12E1" w:rsidP="002D12E1">
      <w:pPr>
        <w:pStyle w:val="Footnote"/>
      </w:pPr>
      <w:r>
        <w:rPr>
          <w:rStyle w:val="EndnoteReference"/>
        </w:rPr>
        <w:endnoteRef/>
      </w:r>
      <w:r>
        <w:t xml:space="preserve"> </w:t>
      </w:r>
      <w:r>
        <w:tab/>
      </w:r>
      <w:r w:rsidRPr="002D12E1">
        <w:t>Aim is to provide a level playing field and consistent policy environment for all researchers regardless of funder or discipline.</w:t>
      </w:r>
    </w:p>
  </w:endnote>
  <w:endnote w:id="5">
    <w:p w14:paraId="5255CC9D" w14:textId="6ADCBF66" w:rsidR="002D12E1" w:rsidRDefault="002D12E1" w:rsidP="002D12E1">
      <w:pPr>
        <w:pStyle w:val="Footnote"/>
      </w:pPr>
      <w:r>
        <w:rPr>
          <w:rStyle w:val="EndnoteReference"/>
        </w:rPr>
        <w:endnoteRef/>
      </w:r>
      <w:r>
        <w:t xml:space="preserve"> </w:t>
      </w:r>
      <w:r>
        <w:tab/>
      </w:r>
      <w:r w:rsidRPr="002D12E1">
        <w:t>Including issues of interoperability and re-usability of data, necessary for making informed judgements of what data are likely to have a long-term value, and identification of roles and responsibilities.</w:t>
      </w:r>
    </w:p>
  </w:endnote>
  <w:endnote w:id="6">
    <w:p w14:paraId="3561BFA7" w14:textId="6ED0ACF2" w:rsidR="002D12E1" w:rsidRDefault="002D12E1" w:rsidP="002D12E1">
      <w:pPr>
        <w:pStyle w:val="Footnote"/>
      </w:pPr>
      <w:r>
        <w:rPr>
          <w:rStyle w:val="EndnoteReference"/>
        </w:rPr>
        <w:endnoteRef/>
      </w:r>
      <w:r>
        <w:t xml:space="preserve"> </w:t>
      </w:r>
      <w:r>
        <w:tab/>
      </w:r>
      <w:r w:rsidRPr="002D12E1">
        <w:t>For example, RFO provides RDM funding in project budget and/or includes funding in its data sharing policies.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LTStd-BdCn">
    <w:altName w:val="Arial"/>
    <w:panose1 w:val="020B0706030502030204"/>
    <w:charset w:val="00"/>
    <w:family w:val="auto"/>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2818D" w14:textId="77777777" w:rsidR="00D840ED" w:rsidRDefault="00D840ED" w:rsidP="00D840ED">
    <w:pPr>
      <w:pStyle w:val="FooterBody"/>
      <w:spacing w:before="0" w:beforeAutospacing="0" w:line="240" w:lineRule="auto"/>
      <w:rPr>
        <w:rFonts w:cstheme="minorHAnsi"/>
        <w:b/>
        <w:sz w:val="18"/>
        <w:szCs w:val="18"/>
        <w:lang w:val="fr-BE"/>
      </w:rPr>
    </w:pPr>
  </w:p>
  <w:bookmarkStart w:id="0" w:name="_Hlk61984649"/>
  <w:bookmarkStart w:id="1" w:name="_Hlk61984650"/>
  <w:bookmarkStart w:id="2" w:name="_Hlk61984692"/>
  <w:bookmarkStart w:id="3" w:name="_Hlk61984693"/>
  <w:p w14:paraId="70D2505A" w14:textId="1FD0DBA9" w:rsidR="00D840ED" w:rsidRPr="00D840ED" w:rsidRDefault="00D840ED" w:rsidP="00D840ED">
    <w:pPr>
      <w:pStyle w:val="FooterBody"/>
      <w:spacing w:before="0" w:beforeAutospacing="0" w:line="240" w:lineRule="auto"/>
      <w:rPr>
        <w:rFonts w:cstheme="minorHAnsi"/>
        <w:sz w:val="18"/>
        <w:szCs w:val="18"/>
        <w:lang w:val="fr-BE"/>
      </w:rPr>
    </w:pPr>
    <w:r>
      <w:rPr>
        <w:rFonts w:cstheme="minorHAnsi"/>
        <w:noProof/>
        <w:sz w:val="18"/>
        <w:szCs w:val="18"/>
        <w:lang w:val="en-US"/>
        <w14:ligatures w14:val="none"/>
      </w:rPr>
      <mc:AlternateContent>
        <mc:Choice Requires="wps">
          <w:drawing>
            <wp:anchor distT="0" distB="0" distL="114300" distR="114300" simplePos="0" relativeHeight="251662336" behindDoc="0" locked="0" layoutInCell="1" allowOverlap="1" wp14:anchorId="208160A0" wp14:editId="44C5017D">
              <wp:simplePos x="0" y="0"/>
              <wp:positionH relativeFrom="leftMargin">
                <wp:posOffset>457200</wp:posOffset>
              </wp:positionH>
              <wp:positionV relativeFrom="paragraph">
                <wp:posOffset>75565</wp:posOffset>
              </wp:positionV>
              <wp:extent cx="334800" cy="0"/>
              <wp:effectExtent l="0" t="19050" r="46355" b="38100"/>
              <wp:wrapNone/>
              <wp:docPr id="5" name="Straight Connector 5"/>
              <wp:cNvGraphicFramePr/>
              <a:graphic xmlns:a="http://schemas.openxmlformats.org/drawingml/2006/main">
                <a:graphicData uri="http://schemas.microsoft.com/office/word/2010/wordprocessingShape">
                  <wps:wsp>
                    <wps:cNvCnPr/>
                    <wps:spPr>
                      <a:xfrm>
                        <a:off x="0" y="0"/>
                        <a:ext cx="334800" cy="0"/>
                      </a:xfrm>
                      <a:prstGeom prst="line">
                        <a:avLst/>
                      </a:prstGeom>
                      <a:ln w="63500">
                        <a:solidFill>
                          <a:srgbClr val="45AC3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A0851B"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6pt,5.95pt" to="62.3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" strokecolor="#45ac34" strokeweight="5pt">
              <v:stroke joinstyle="miter"/>
              <w10:wrap anchorx="margin"/>
            </v:line>
          </w:pict>
        </mc:Fallback>
      </mc:AlternateContent>
    </w:r>
    <w:r w:rsidRPr="00D840ED">
      <w:rPr>
        <w:rFonts w:cstheme="minorHAnsi"/>
        <w:b/>
        <w:sz w:val="18"/>
        <w:szCs w:val="18"/>
        <w:lang w:val="fr-BE"/>
      </w:rPr>
      <w:t>Science Europe</w:t>
    </w:r>
  </w:p>
  <w:p w14:paraId="4F616F74" w14:textId="77777777" w:rsidR="00D840ED" w:rsidRPr="00D840ED" w:rsidRDefault="00D840ED" w:rsidP="00D840ED">
    <w:pPr>
      <w:pStyle w:val="FooterBody"/>
      <w:spacing w:before="0" w:beforeAutospacing="0" w:line="240" w:lineRule="auto"/>
      <w:rPr>
        <w:rFonts w:cstheme="minorHAnsi"/>
        <w:sz w:val="18"/>
        <w:szCs w:val="18"/>
        <w:lang w:val="fr-BE"/>
      </w:rPr>
    </w:pPr>
    <w:r w:rsidRPr="00D840ED">
      <w:rPr>
        <w:rFonts w:cstheme="minorHAnsi"/>
        <w:sz w:val="18"/>
        <w:szCs w:val="18"/>
        <w:lang w:val="fr-BE"/>
      </w:rPr>
      <w:t xml:space="preserve">Rue de la Science 14, 1040 Brussels, </w:t>
    </w:r>
    <w:proofErr w:type="spellStart"/>
    <w:r w:rsidRPr="00D840ED">
      <w:rPr>
        <w:rFonts w:cstheme="minorHAnsi"/>
        <w:sz w:val="18"/>
        <w:szCs w:val="18"/>
        <w:lang w:val="fr-BE"/>
      </w:rPr>
      <w:t>Belgium</w:t>
    </w:r>
    <w:proofErr w:type="spellEnd"/>
  </w:p>
  <w:p w14:paraId="660A1490" w14:textId="0B5542F2" w:rsidR="00D840ED" w:rsidRPr="00D840ED" w:rsidRDefault="00D840ED" w:rsidP="00D840ED">
    <w:pPr>
      <w:pStyle w:val="FooterBody"/>
      <w:spacing w:before="0" w:beforeAutospacing="0" w:line="240" w:lineRule="auto"/>
      <w:rPr>
        <w:lang w:val="fr-BE"/>
      </w:rPr>
    </w:pPr>
    <w:r w:rsidRPr="00D840ED">
      <w:rPr>
        <w:rFonts w:cstheme="minorHAnsi"/>
        <w:sz w:val="18"/>
        <w:szCs w:val="18"/>
        <w:lang w:val="fr-BE"/>
      </w:rPr>
      <w:t>Tel: +32 (0)2 226 03 00</w:t>
    </w:r>
    <w:bookmarkStart w:id="4" w:name="_Hlk8936648"/>
    <w:r w:rsidRPr="00D840ED">
      <w:rPr>
        <w:rFonts w:cstheme="minorHAnsi"/>
        <w:sz w:val="18"/>
        <w:szCs w:val="18"/>
        <w:lang w:val="fr-BE"/>
      </w:rPr>
      <w:t xml:space="preserve"> </w:t>
    </w:r>
    <w:r w:rsidRPr="00D840ED">
      <w:rPr>
        <w:rFonts w:cstheme="minorHAnsi"/>
        <w:sz w:val="18"/>
        <w:szCs w:val="18"/>
        <w:lang w:val="fr-BE"/>
      </w:rPr>
      <w:sym w:font="Symbol" w:char="F0BD"/>
    </w:r>
    <w:bookmarkEnd w:id="4"/>
    <w:r w:rsidRPr="00D840ED">
      <w:rPr>
        <w:rFonts w:cstheme="minorHAnsi"/>
        <w:sz w:val="18"/>
        <w:szCs w:val="18"/>
        <w:lang w:val="fr-BE"/>
      </w:rPr>
      <w:t xml:space="preserve"> Email: </w:t>
    </w:r>
    <w:hyperlink r:id="rId1">
      <w:r w:rsidRPr="00D840ED">
        <w:rPr>
          <w:rFonts w:cstheme="minorHAnsi"/>
          <w:sz w:val="18"/>
          <w:szCs w:val="18"/>
        </w:rPr>
        <w:t>office@scienceeurope.org</w:t>
      </w:r>
    </w:hyperlink>
    <w:bookmarkStart w:id="5" w:name="_Hlk9879968"/>
    <w:r w:rsidRPr="00D840ED">
      <w:rPr>
        <w:rFonts w:cstheme="minorHAnsi"/>
        <w:sz w:val="18"/>
        <w:szCs w:val="18"/>
        <w:lang w:val="fr-BE"/>
      </w:rPr>
      <w:t xml:space="preserve"> </w:t>
    </w:r>
    <w:r w:rsidRPr="00D840ED">
      <w:rPr>
        <w:rFonts w:cstheme="minorHAnsi"/>
        <w:sz w:val="18"/>
        <w:szCs w:val="18"/>
        <w:lang w:val="fr-BE"/>
      </w:rPr>
      <w:sym w:font="Symbol" w:char="F0BD"/>
    </w:r>
    <w:r w:rsidRPr="00D840ED">
      <w:rPr>
        <w:rFonts w:cstheme="minorHAnsi"/>
        <w:sz w:val="18"/>
        <w:szCs w:val="18"/>
        <w:lang w:val="fr-BE"/>
      </w:rPr>
      <w:t xml:space="preserve"> </w:t>
    </w:r>
    <w:bookmarkEnd w:id="5"/>
    <w:r w:rsidR="00F23C16">
      <w:rPr>
        <w:rFonts w:cstheme="minorHAnsi"/>
        <w:sz w:val="18"/>
        <w:szCs w:val="18"/>
        <w:lang w:val="fr-BE"/>
      </w:rPr>
      <w:t>https://scieur.org/rdm</w:t>
    </w:r>
    <w:bookmarkEnd w:id="0"/>
    <w:bookmarkEnd w:id="1"/>
    <w:bookmarkEnd w:id="2"/>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8"/>
      <w:gridCol w:w="1229"/>
    </w:tblGrid>
    <w:tr w:rsidR="005878BF" w14:paraId="36A40225" w14:textId="77777777" w:rsidTr="00A9512C">
      <w:tc>
        <w:tcPr>
          <w:tcW w:w="4319" w:type="pct"/>
        </w:tcPr>
        <w:p w14:paraId="00D8F276" w14:textId="2C6C4CB0" w:rsidR="005878BF" w:rsidRPr="005878BF" w:rsidRDefault="005878BF"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1DDA4753" w14:textId="2F1A7ECA" w:rsidR="005878BF" w:rsidRPr="005878BF" w:rsidRDefault="005878BF"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7F8284DA" w14:textId="25AC4130" w:rsidR="005878BF" w:rsidRDefault="005878BF"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sidR="00657E78">
            <w:rPr>
              <w:rFonts w:cstheme="minorHAnsi"/>
              <w:sz w:val="18"/>
              <w:szCs w:val="18"/>
            </w:rPr>
            <w:tab/>
          </w:r>
        </w:p>
      </w:tc>
      <w:tc>
        <w:tcPr>
          <w:tcW w:w="681" w:type="pct"/>
          <w:vAlign w:val="bottom"/>
        </w:tcPr>
        <w:p w14:paraId="4D2F9CED" w14:textId="1434B469" w:rsidR="005878BF" w:rsidRDefault="003B5B9C" w:rsidP="005878BF">
          <w:pPr>
            <w:pStyle w:val="FooterBody"/>
            <w:spacing w:before="0" w:beforeAutospacing="0" w:line="240" w:lineRule="auto"/>
            <w:jc w:val="right"/>
            <w:rPr>
              <w:rFonts w:cstheme="minorHAnsi"/>
              <w:b/>
              <w:sz w:val="18"/>
              <w:szCs w:val="18"/>
              <w:lang w:val="fr-BE"/>
            </w:rPr>
          </w:pPr>
          <w:sdt>
            <w:sdtPr>
              <w:id w:val="2062275869"/>
              <w:docPartObj>
                <w:docPartGallery w:val="Page Numbers (Bottom of Page)"/>
                <w:docPartUnique/>
              </w:docPartObj>
            </w:sdtPr>
            <w:sdtEndPr>
              <w:rPr>
                <w:noProof/>
                <w:sz w:val="22"/>
                <w:szCs w:val="22"/>
              </w:rPr>
            </w:sdtEndPr>
            <w:sdtContent>
              <w:r w:rsidR="005878BF" w:rsidRPr="005878BF">
                <w:rPr>
                  <w:sz w:val="22"/>
                  <w:szCs w:val="22"/>
                </w:rPr>
                <w:fldChar w:fldCharType="begin"/>
              </w:r>
              <w:r w:rsidR="005878BF" w:rsidRPr="005878BF">
                <w:rPr>
                  <w:sz w:val="22"/>
                  <w:szCs w:val="22"/>
                </w:rPr>
                <w:instrText xml:space="preserve"> PAGE   \* MERGEFORMAT </w:instrText>
              </w:r>
              <w:r w:rsidR="005878BF" w:rsidRPr="005878BF">
                <w:rPr>
                  <w:sz w:val="22"/>
                  <w:szCs w:val="22"/>
                </w:rPr>
                <w:fldChar w:fldCharType="separate"/>
              </w:r>
              <w:r w:rsidR="005878BF" w:rsidRPr="005878BF">
                <w:rPr>
                  <w:sz w:val="22"/>
                  <w:szCs w:val="22"/>
                </w:rPr>
                <w:t>3</w:t>
              </w:r>
              <w:r w:rsidR="005878BF" w:rsidRPr="005878BF">
                <w:rPr>
                  <w:noProof/>
                  <w:sz w:val="22"/>
                  <w:szCs w:val="22"/>
                </w:rPr>
                <w:fldChar w:fldCharType="end"/>
              </w:r>
            </w:sdtContent>
          </w:sdt>
        </w:p>
      </w:tc>
    </w:tr>
  </w:tbl>
  <w:p w14:paraId="456EC561" w14:textId="267ECF7F" w:rsidR="005512BC"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7456" behindDoc="0" locked="0" layoutInCell="1" allowOverlap="1" wp14:anchorId="41D1CACB" wp14:editId="0F32BD85">
              <wp:simplePos x="0" y="0"/>
              <wp:positionH relativeFrom="leftMargin">
                <wp:posOffset>474649</wp:posOffset>
              </wp:positionH>
              <wp:positionV relativeFrom="paragraph">
                <wp:posOffset>-332740</wp:posOffset>
              </wp:positionV>
              <wp:extent cx="334645" cy="0"/>
              <wp:effectExtent l="0" t="19050" r="46355" b="38100"/>
              <wp:wrapNone/>
              <wp:docPr id="2" name="Straight Connector 2"/>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A9F24E"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35pt,-26.2pt" to="63.7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" strokecolor="#70ad47 [3209]"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97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16"/>
      <w:gridCol w:w="2975"/>
    </w:tblGrid>
    <w:tr w:rsidR="00657E78" w14:paraId="72000784" w14:textId="77777777" w:rsidTr="00A9512C">
      <w:tc>
        <w:tcPr>
          <w:tcW w:w="3929" w:type="pct"/>
        </w:tcPr>
        <w:p w14:paraId="7B7CBAEA" w14:textId="0A34BA72" w:rsidR="00657E78" w:rsidRPr="005878BF" w:rsidRDefault="00657E78" w:rsidP="005878BF">
          <w:pPr>
            <w:pStyle w:val="FooterBody"/>
            <w:spacing w:before="0" w:beforeAutospacing="0" w:line="240" w:lineRule="auto"/>
            <w:rPr>
              <w:rFonts w:cstheme="minorHAnsi"/>
              <w:sz w:val="18"/>
              <w:szCs w:val="18"/>
            </w:rPr>
          </w:pPr>
          <w:r w:rsidRPr="005878BF">
            <w:rPr>
              <w:rFonts w:cstheme="minorHAnsi"/>
              <w:b/>
              <w:sz w:val="18"/>
              <w:szCs w:val="18"/>
            </w:rPr>
            <w:t>Science Europe</w:t>
          </w:r>
        </w:p>
        <w:p w14:paraId="7B1BA3F5" w14:textId="40AE9A9A" w:rsidR="00657E78" w:rsidRPr="005878BF" w:rsidRDefault="00657E78" w:rsidP="005878BF">
          <w:pPr>
            <w:pStyle w:val="FooterBody"/>
            <w:tabs>
              <w:tab w:val="right" w:pos="7009"/>
            </w:tabs>
            <w:spacing w:before="0" w:beforeAutospacing="0" w:line="240" w:lineRule="auto"/>
            <w:rPr>
              <w:rFonts w:cstheme="minorHAnsi"/>
              <w:sz w:val="18"/>
              <w:szCs w:val="18"/>
            </w:rPr>
          </w:pPr>
          <w:r w:rsidRPr="005878BF">
            <w:rPr>
              <w:rFonts w:cstheme="minorHAnsi"/>
              <w:sz w:val="18"/>
              <w:szCs w:val="18"/>
            </w:rPr>
            <w:t>Rue de la Science 14, 1040 Brussels, Belgium</w:t>
          </w:r>
          <w:r w:rsidRPr="005878BF">
            <w:rPr>
              <w:rFonts w:cstheme="minorHAnsi"/>
              <w:sz w:val="18"/>
              <w:szCs w:val="18"/>
            </w:rPr>
            <w:tab/>
          </w:r>
        </w:p>
        <w:p w14:paraId="6E6DDF11" w14:textId="77777777" w:rsidR="00657E78" w:rsidRDefault="00657E78" w:rsidP="00657E78">
          <w:pPr>
            <w:pStyle w:val="FooterBody"/>
            <w:tabs>
              <w:tab w:val="right" w:pos="7009"/>
            </w:tabs>
            <w:spacing w:before="0" w:beforeAutospacing="0" w:line="240" w:lineRule="auto"/>
            <w:rPr>
              <w:rFonts w:cstheme="minorHAnsi"/>
              <w:b/>
              <w:sz w:val="18"/>
              <w:szCs w:val="18"/>
              <w:lang w:val="fr-BE"/>
            </w:rPr>
          </w:pPr>
          <w:r w:rsidRPr="005878BF">
            <w:rPr>
              <w:rFonts w:cstheme="minorHAnsi"/>
              <w:sz w:val="18"/>
              <w:szCs w:val="18"/>
            </w:rPr>
            <w:t xml:space="preserve">Tel: +32 (0)2 226 03 00 </w:t>
          </w:r>
          <w:r w:rsidRPr="005878BF">
            <w:rPr>
              <w:rFonts w:cstheme="minorHAnsi"/>
              <w:sz w:val="18"/>
              <w:szCs w:val="18"/>
            </w:rPr>
            <w:sym w:font="Symbol" w:char="F0BD"/>
          </w:r>
          <w:r w:rsidRPr="005878BF">
            <w:rPr>
              <w:rFonts w:cstheme="minorHAnsi"/>
              <w:sz w:val="18"/>
              <w:szCs w:val="18"/>
            </w:rPr>
            <w:t xml:space="preserve"> Email: </w:t>
          </w:r>
          <w:hyperlink r:id="rId1">
            <w:r w:rsidRPr="005878BF">
              <w:rPr>
                <w:rFonts w:cstheme="minorHAnsi"/>
                <w:sz w:val="18"/>
                <w:szCs w:val="18"/>
              </w:rPr>
              <w:t>office@scienceeurope.org</w:t>
            </w:r>
          </w:hyperlink>
          <w:r w:rsidRPr="005878BF">
            <w:rPr>
              <w:rFonts w:cstheme="minorHAnsi"/>
              <w:sz w:val="18"/>
              <w:szCs w:val="18"/>
            </w:rPr>
            <w:t xml:space="preserve"> </w:t>
          </w:r>
          <w:r w:rsidRPr="005878BF">
            <w:rPr>
              <w:rFonts w:cstheme="minorHAnsi"/>
              <w:sz w:val="18"/>
              <w:szCs w:val="18"/>
            </w:rPr>
            <w:sym w:font="Symbol" w:char="F0BD"/>
          </w:r>
          <w:r w:rsidRPr="005878BF">
            <w:rPr>
              <w:rFonts w:cstheme="minorHAnsi"/>
              <w:sz w:val="18"/>
              <w:szCs w:val="18"/>
            </w:rPr>
            <w:t xml:space="preserve"> https://scieur.org/srd</w:t>
          </w:r>
          <w:r>
            <w:rPr>
              <w:rFonts w:cstheme="minorHAnsi"/>
              <w:sz w:val="18"/>
              <w:szCs w:val="18"/>
            </w:rPr>
            <w:tab/>
          </w:r>
        </w:p>
      </w:tc>
      <w:tc>
        <w:tcPr>
          <w:tcW w:w="1071" w:type="pct"/>
          <w:vAlign w:val="bottom"/>
        </w:tcPr>
        <w:p w14:paraId="08139321" w14:textId="77777777" w:rsidR="00657E78" w:rsidRDefault="003B5B9C" w:rsidP="005878BF">
          <w:pPr>
            <w:pStyle w:val="FooterBody"/>
            <w:spacing w:before="0" w:beforeAutospacing="0" w:line="240" w:lineRule="auto"/>
            <w:jc w:val="right"/>
            <w:rPr>
              <w:rFonts w:cstheme="minorHAnsi"/>
              <w:b/>
              <w:sz w:val="18"/>
              <w:szCs w:val="18"/>
              <w:lang w:val="fr-BE"/>
            </w:rPr>
          </w:pPr>
          <w:sdt>
            <w:sdtPr>
              <w:id w:val="-1089919038"/>
              <w:docPartObj>
                <w:docPartGallery w:val="Page Numbers (Bottom of Page)"/>
                <w:docPartUnique/>
              </w:docPartObj>
            </w:sdtPr>
            <w:sdtEndPr>
              <w:rPr>
                <w:noProof/>
                <w:sz w:val="22"/>
                <w:szCs w:val="22"/>
              </w:rPr>
            </w:sdtEndPr>
            <w:sdtContent>
              <w:r w:rsidR="00657E78" w:rsidRPr="005878BF">
                <w:rPr>
                  <w:sz w:val="22"/>
                  <w:szCs w:val="22"/>
                </w:rPr>
                <w:fldChar w:fldCharType="begin"/>
              </w:r>
              <w:r w:rsidR="00657E78" w:rsidRPr="005878BF">
                <w:rPr>
                  <w:sz w:val="22"/>
                  <w:szCs w:val="22"/>
                </w:rPr>
                <w:instrText xml:space="preserve"> PAGE   \* MERGEFORMAT </w:instrText>
              </w:r>
              <w:r w:rsidR="00657E78" w:rsidRPr="005878BF">
                <w:rPr>
                  <w:sz w:val="22"/>
                  <w:szCs w:val="22"/>
                </w:rPr>
                <w:fldChar w:fldCharType="separate"/>
              </w:r>
              <w:r w:rsidR="00657E78" w:rsidRPr="005878BF">
                <w:rPr>
                  <w:sz w:val="22"/>
                  <w:szCs w:val="22"/>
                </w:rPr>
                <w:t>3</w:t>
              </w:r>
              <w:r w:rsidR="00657E78" w:rsidRPr="005878BF">
                <w:rPr>
                  <w:noProof/>
                  <w:sz w:val="22"/>
                  <w:szCs w:val="22"/>
                </w:rPr>
                <w:fldChar w:fldCharType="end"/>
              </w:r>
            </w:sdtContent>
          </w:sdt>
        </w:p>
      </w:tc>
    </w:tr>
  </w:tbl>
  <w:p w14:paraId="062D4B71" w14:textId="056DDA52" w:rsidR="00657E78" w:rsidRPr="005878BF" w:rsidRDefault="00657E78" w:rsidP="005878BF">
    <w:pPr>
      <w:pStyle w:val="Footer"/>
      <w:rPr>
        <w:sz w:val="2"/>
        <w:szCs w:val="2"/>
      </w:rPr>
    </w:pPr>
    <w:r w:rsidRPr="00624038">
      <w:rPr>
        <w:rFonts w:cstheme="minorHAnsi"/>
        <w:noProof/>
        <w:color w:val="ED7D31" w:themeColor="accent2"/>
        <w:sz w:val="18"/>
        <w:szCs w:val="18"/>
        <w:lang w:val="en-US"/>
      </w:rPr>
      <mc:AlternateContent>
        <mc:Choice Requires="wps">
          <w:drawing>
            <wp:anchor distT="0" distB="0" distL="114300" distR="114300" simplePos="0" relativeHeight="251669504" behindDoc="0" locked="0" layoutInCell="1" allowOverlap="1" wp14:anchorId="12B3E487" wp14:editId="197854BB">
              <wp:simplePos x="0" y="0"/>
              <wp:positionH relativeFrom="leftMargin">
                <wp:posOffset>475919</wp:posOffset>
              </wp:positionH>
              <wp:positionV relativeFrom="paragraph">
                <wp:posOffset>-324485</wp:posOffset>
              </wp:positionV>
              <wp:extent cx="334645" cy="0"/>
              <wp:effectExtent l="0" t="19050" r="46355" b="38100"/>
              <wp:wrapNone/>
              <wp:docPr id="3" name="Straight Connector 3"/>
              <wp:cNvGraphicFramePr/>
              <a:graphic xmlns:a="http://schemas.openxmlformats.org/drawingml/2006/main">
                <a:graphicData uri="http://schemas.microsoft.com/office/word/2010/wordprocessingShape">
                  <wps:wsp>
                    <wps:cNvCnPr/>
                    <wps:spPr>
                      <a:xfrm>
                        <a:off x="0" y="0"/>
                        <a:ext cx="334645" cy="0"/>
                      </a:xfrm>
                      <a:prstGeom prst="line">
                        <a:avLst/>
                      </a:prstGeom>
                      <a:ln w="63500">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D9EB9" id="Straight Connector 3" o:spid="_x0000_s1026" style="position:absolute;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 from="37.45pt,-25.55pt" to="63.8pt,-2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" strokecolor="#70ad47 [3209]"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EC9AD" w14:textId="77777777" w:rsidR="00F43618" w:rsidRDefault="00F43618" w:rsidP="00002204">
      <w:pPr>
        <w:spacing w:after="0" w:line="240" w:lineRule="auto"/>
      </w:pPr>
      <w:r>
        <w:separator/>
      </w:r>
    </w:p>
  </w:footnote>
  <w:footnote w:type="continuationSeparator" w:id="0">
    <w:p w14:paraId="03AB1B55" w14:textId="77777777" w:rsidR="00F43618" w:rsidRDefault="00F43618" w:rsidP="00002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0A646" w14:textId="450B5929" w:rsidR="00002204" w:rsidRDefault="003B5B9C">
    <w:pPr>
      <w:pStyle w:val="Header"/>
    </w:pPr>
    <w:r>
      <w:rPr>
        <w:noProof/>
      </w:rPr>
      <w:pict w14:anchorId="5F684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2" o:spid="_x0000_s2059" type="#_x0000_t75" style="position:absolute;left:0;text-align:left;margin-left:0;margin-top:0;width:450.45pt;height:318.45pt;z-index:-251652096;mso-position-horizontal:center;mso-position-horizontal-relative:margin;mso-position-vertical:center;mso-position-vertical-relative:margin" o:allowincell="f">
          <v:imagedata r:id="rId1" o:title="A4-RDM-bg-landscap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35904" w14:textId="54C86C08" w:rsidR="00002204" w:rsidRPr="00B733D8" w:rsidRDefault="003B5B9C">
    <w:pPr>
      <w:pStyle w:val="Header"/>
      <w:rPr>
        <w:rFonts w:asciiTheme="majorHAnsi" w:hAnsiTheme="majorHAnsi" w:cstheme="majorHAnsi"/>
      </w:rPr>
    </w:pPr>
    <w:r>
      <w:rPr>
        <w:rFonts w:asciiTheme="majorHAnsi" w:hAnsiTheme="majorHAnsi" w:cstheme="majorHAnsi"/>
        <w:noProof/>
        <w:sz w:val="18"/>
        <w:szCs w:val="18"/>
      </w:rPr>
      <w:pict w14:anchorId="6C376F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3" o:spid="_x0000_s2060" type="#_x0000_t75" style="position:absolute;left:0;text-align:left;margin-left:0;margin-top:0;width:842.15pt;height:595.35pt;z-index:-251651072;mso-position-horizontal:center;mso-position-horizontal-relative:margin;mso-position-vertical:center;mso-position-vertical-relative:margin" o:allowincell="f">
          <v:imagedata r:id="rId1" o:title="A4-RDM-bg-landscape"/>
          <w10:wrap anchorx="margin" anchory="margin"/>
        </v:shape>
      </w:pict>
    </w:r>
    <w:r w:rsidR="00B733D8" w:rsidRPr="00B733D8">
      <w:rPr>
        <w:rFonts w:asciiTheme="majorHAnsi" w:hAnsiTheme="majorHAnsi" w:cstheme="majorHAnsi"/>
        <w:sz w:val="18"/>
        <w:szCs w:val="18"/>
      </w:rPr>
      <w:t xml:space="preserve">TEMPLATE: </w:t>
    </w:r>
    <w:r w:rsidR="00012C6B">
      <w:rPr>
        <w:rFonts w:asciiTheme="majorHAnsi" w:hAnsiTheme="majorHAnsi" w:cstheme="majorHAnsi"/>
        <w:sz w:val="18"/>
        <w:szCs w:val="18"/>
      </w:rPr>
      <w:t>MATURITY MATRIX FOR RFOS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AB79" w14:textId="686B2C2C" w:rsidR="00523691" w:rsidRDefault="003B5B9C">
    <w:pPr>
      <w:pStyle w:val="Header"/>
    </w:pPr>
    <w:r>
      <w:rPr>
        <w:noProof/>
      </w:rPr>
      <w:pict w14:anchorId="728A7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399031" o:spid="_x0000_s2058" type="#_x0000_t75" style="position:absolute;left:0;text-align:left;margin-left:0;margin-top:0;width:450.45pt;height:318.45pt;z-index:-251653120;mso-position-horizontal:center;mso-position-horizontal-relative:margin;mso-position-vertical:center;mso-position-vertical-relative:margin" o:allowincell="f">
          <v:imagedata r:id="rId1" o:title="A4-RDM-bg-landscap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DE4C03" w14:paraId="7717FAF6" w14:textId="77777777" w:rsidTr="00DE4C03">
      <w:tc>
        <w:tcPr>
          <w:tcW w:w="8931" w:type="dxa"/>
        </w:tcPr>
        <w:p w14:paraId="06269044" w14:textId="51F27284" w:rsidR="00DE4C03" w:rsidRPr="005878BF" w:rsidRDefault="00DE4C03"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 xml:space="preserve">SCIENCE EUROPE MATURITY MATRIX FOR RESEARCH </w:t>
          </w:r>
          <w:r w:rsidR="00B27E7E">
            <w:rPr>
              <w:rFonts w:asciiTheme="majorHAnsi" w:hAnsiTheme="majorHAnsi" w:cstheme="majorHAnsi"/>
              <w:sz w:val="18"/>
              <w:szCs w:val="18"/>
            </w:rPr>
            <w:t>FUNDING</w:t>
          </w:r>
          <w:r w:rsidRPr="005878BF">
            <w:rPr>
              <w:rFonts w:asciiTheme="majorHAnsi" w:hAnsiTheme="majorHAnsi" w:cstheme="majorHAnsi"/>
              <w:sz w:val="18"/>
              <w:szCs w:val="18"/>
            </w:rPr>
            <w:t xml:space="preserve"> ORGANISATIONS</w:t>
          </w:r>
        </w:p>
      </w:tc>
    </w:tr>
  </w:tbl>
  <w:p w14:paraId="6E03A6CD" w14:textId="4077B4C5" w:rsidR="005512BC" w:rsidRDefault="005512BC" w:rsidP="00FA3D5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931" w:type="dxa"/>
      <w:tblLayout w:type="fixed"/>
      <w:tblLook w:val="06A0" w:firstRow="1" w:lastRow="0" w:firstColumn="1" w:lastColumn="0" w:noHBand="1" w:noVBand="1"/>
    </w:tblPr>
    <w:tblGrid>
      <w:gridCol w:w="8931"/>
    </w:tblGrid>
    <w:tr w:rsidR="0016255C" w14:paraId="5D155811" w14:textId="77777777" w:rsidTr="00DE4C03">
      <w:tc>
        <w:tcPr>
          <w:tcW w:w="8931" w:type="dxa"/>
        </w:tcPr>
        <w:p w14:paraId="13451A79" w14:textId="77777777" w:rsidR="0016255C" w:rsidRPr="005878BF" w:rsidRDefault="0016255C" w:rsidP="009F1FB6">
          <w:pPr>
            <w:pStyle w:val="Header"/>
            <w:ind w:left="-115"/>
            <w:rPr>
              <w:rFonts w:asciiTheme="majorHAnsi" w:hAnsiTheme="majorHAnsi" w:cstheme="majorHAnsi"/>
              <w:sz w:val="18"/>
              <w:szCs w:val="18"/>
            </w:rPr>
          </w:pPr>
          <w:r w:rsidRPr="005878BF">
            <w:rPr>
              <w:rFonts w:asciiTheme="majorHAnsi" w:hAnsiTheme="majorHAnsi" w:cstheme="majorHAnsi"/>
              <w:sz w:val="18"/>
              <w:szCs w:val="18"/>
            </w:rPr>
            <w:t>SCIENCE EUROPE MATURITY MATRIX FOR RESEARCH FUNDING ORGANISATIONS</w:t>
          </w:r>
        </w:p>
      </w:tc>
    </w:tr>
  </w:tbl>
  <w:p w14:paraId="16E0624A" w14:textId="201DDAEF" w:rsidR="0016255C" w:rsidRDefault="00854B34" w:rsidP="00FA3D54">
    <w:pPr>
      <w:pStyle w:val="Header"/>
    </w:pPr>
    <w:r>
      <w:rPr>
        <w:noProof/>
      </w:rPr>
      <w:drawing>
        <wp:anchor distT="0" distB="0" distL="114300" distR="114300" simplePos="0" relativeHeight="251670528" behindDoc="1" locked="1" layoutInCell="1" allowOverlap="1" wp14:anchorId="3464D1A6" wp14:editId="2DAE64A9">
          <wp:simplePos x="914400" y="589085"/>
          <wp:positionH relativeFrom="page">
            <wp:align>right</wp:align>
          </wp:positionH>
          <wp:positionV relativeFrom="page">
            <wp:align>top</wp:align>
          </wp:positionV>
          <wp:extent cx="7297200" cy="1724400"/>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297200" cy="172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8333A"/>
    <w:multiLevelType w:val="hybridMultilevel"/>
    <w:tmpl w:val="0444E568"/>
    <w:lvl w:ilvl="0" w:tplc="54C69C80">
      <w:start w:val="1"/>
      <w:numFmt w:val="bullet"/>
      <w:lvlText w:val=""/>
      <w:lvlJc w:val="left"/>
      <w:pPr>
        <w:ind w:left="360" w:hanging="360"/>
      </w:pPr>
      <w:rPr>
        <w:rFonts w:ascii="Symbol" w:hAnsi="Symbol" w:hint="default"/>
      </w:rPr>
    </w:lvl>
    <w:lvl w:ilvl="1" w:tplc="560ED314">
      <w:start w:val="1"/>
      <w:numFmt w:val="bullet"/>
      <w:lvlText w:val="o"/>
      <w:lvlJc w:val="left"/>
      <w:pPr>
        <w:ind w:left="1080" w:hanging="360"/>
      </w:pPr>
      <w:rPr>
        <w:rFonts w:ascii="Courier New" w:hAnsi="Courier New" w:hint="default"/>
      </w:rPr>
    </w:lvl>
    <w:lvl w:ilvl="2" w:tplc="2E3E4B1A">
      <w:start w:val="1"/>
      <w:numFmt w:val="bullet"/>
      <w:lvlText w:val=""/>
      <w:lvlJc w:val="left"/>
      <w:pPr>
        <w:ind w:left="1800" w:hanging="360"/>
      </w:pPr>
      <w:rPr>
        <w:rFonts w:ascii="Wingdings" w:hAnsi="Wingdings" w:hint="default"/>
      </w:rPr>
    </w:lvl>
    <w:lvl w:ilvl="3" w:tplc="884AEE86">
      <w:start w:val="1"/>
      <w:numFmt w:val="bullet"/>
      <w:lvlText w:val=""/>
      <w:lvlJc w:val="left"/>
      <w:pPr>
        <w:ind w:left="2520" w:hanging="360"/>
      </w:pPr>
      <w:rPr>
        <w:rFonts w:ascii="Symbol" w:hAnsi="Symbol" w:hint="default"/>
      </w:rPr>
    </w:lvl>
    <w:lvl w:ilvl="4" w:tplc="1FFA0452">
      <w:start w:val="1"/>
      <w:numFmt w:val="bullet"/>
      <w:lvlText w:val="o"/>
      <w:lvlJc w:val="left"/>
      <w:pPr>
        <w:ind w:left="3240" w:hanging="360"/>
      </w:pPr>
      <w:rPr>
        <w:rFonts w:ascii="Courier New" w:hAnsi="Courier New" w:hint="default"/>
      </w:rPr>
    </w:lvl>
    <w:lvl w:ilvl="5" w:tplc="09123272">
      <w:start w:val="1"/>
      <w:numFmt w:val="bullet"/>
      <w:lvlText w:val=""/>
      <w:lvlJc w:val="left"/>
      <w:pPr>
        <w:ind w:left="3960" w:hanging="360"/>
      </w:pPr>
      <w:rPr>
        <w:rFonts w:ascii="Wingdings" w:hAnsi="Wingdings" w:hint="default"/>
      </w:rPr>
    </w:lvl>
    <w:lvl w:ilvl="6" w:tplc="98880382">
      <w:start w:val="1"/>
      <w:numFmt w:val="bullet"/>
      <w:lvlText w:val=""/>
      <w:lvlJc w:val="left"/>
      <w:pPr>
        <w:ind w:left="4680" w:hanging="360"/>
      </w:pPr>
      <w:rPr>
        <w:rFonts w:ascii="Symbol" w:hAnsi="Symbol" w:hint="default"/>
      </w:rPr>
    </w:lvl>
    <w:lvl w:ilvl="7" w:tplc="FBEE7282">
      <w:start w:val="1"/>
      <w:numFmt w:val="bullet"/>
      <w:lvlText w:val="o"/>
      <w:lvlJc w:val="left"/>
      <w:pPr>
        <w:ind w:left="5400" w:hanging="360"/>
      </w:pPr>
      <w:rPr>
        <w:rFonts w:ascii="Courier New" w:hAnsi="Courier New" w:hint="default"/>
      </w:rPr>
    </w:lvl>
    <w:lvl w:ilvl="8" w:tplc="6CDE0E08">
      <w:start w:val="1"/>
      <w:numFmt w:val="bullet"/>
      <w:lvlText w:val=""/>
      <w:lvlJc w:val="left"/>
      <w:pPr>
        <w:ind w:left="6120" w:hanging="360"/>
      </w:pPr>
      <w:rPr>
        <w:rFonts w:ascii="Wingdings" w:hAnsi="Wingdings" w:hint="default"/>
      </w:rPr>
    </w:lvl>
  </w:abstractNum>
  <w:abstractNum w:abstractNumId="1" w15:restartNumberingAfterBreak="0">
    <w:nsid w:val="11680750"/>
    <w:multiLevelType w:val="hybridMultilevel"/>
    <w:tmpl w:val="5DFE5144"/>
    <w:lvl w:ilvl="0" w:tplc="1910F4D4">
      <w:start w:val="1"/>
      <w:numFmt w:val="bullet"/>
      <w:lvlText w:val=""/>
      <w:lvlJc w:val="left"/>
      <w:pPr>
        <w:ind w:left="360" w:hanging="360"/>
      </w:pPr>
      <w:rPr>
        <w:rFonts w:ascii="Symbol" w:hAnsi="Symbol" w:hint="default"/>
      </w:rPr>
    </w:lvl>
    <w:lvl w:ilvl="1" w:tplc="F64EA06E">
      <w:start w:val="1"/>
      <w:numFmt w:val="bullet"/>
      <w:lvlText w:val="o"/>
      <w:lvlJc w:val="left"/>
      <w:pPr>
        <w:ind w:left="1080" w:hanging="360"/>
      </w:pPr>
      <w:rPr>
        <w:rFonts w:ascii="Courier New" w:hAnsi="Courier New" w:hint="default"/>
      </w:rPr>
    </w:lvl>
    <w:lvl w:ilvl="2" w:tplc="2D0C6C74">
      <w:start w:val="1"/>
      <w:numFmt w:val="bullet"/>
      <w:lvlText w:val=""/>
      <w:lvlJc w:val="left"/>
      <w:pPr>
        <w:ind w:left="1800" w:hanging="360"/>
      </w:pPr>
      <w:rPr>
        <w:rFonts w:ascii="Wingdings" w:hAnsi="Wingdings" w:hint="default"/>
      </w:rPr>
    </w:lvl>
    <w:lvl w:ilvl="3" w:tplc="23F6D654">
      <w:start w:val="1"/>
      <w:numFmt w:val="bullet"/>
      <w:lvlText w:val=""/>
      <w:lvlJc w:val="left"/>
      <w:pPr>
        <w:ind w:left="2520" w:hanging="360"/>
      </w:pPr>
      <w:rPr>
        <w:rFonts w:ascii="Symbol" w:hAnsi="Symbol" w:hint="default"/>
      </w:rPr>
    </w:lvl>
    <w:lvl w:ilvl="4" w:tplc="13ECA7F4">
      <w:start w:val="1"/>
      <w:numFmt w:val="bullet"/>
      <w:lvlText w:val="o"/>
      <w:lvlJc w:val="left"/>
      <w:pPr>
        <w:ind w:left="3240" w:hanging="360"/>
      </w:pPr>
      <w:rPr>
        <w:rFonts w:ascii="Courier New" w:hAnsi="Courier New" w:hint="default"/>
      </w:rPr>
    </w:lvl>
    <w:lvl w:ilvl="5" w:tplc="E3500514">
      <w:start w:val="1"/>
      <w:numFmt w:val="bullet"/>
      <w:lvlText w:val=""/>
      <w:lvlJc w:val="left"/>
      <w:pPr>
        <w:ind w:left="3960" w:hanging="360"/>
      </w:pPr>
      <w:rPr>
        <w:rFonts w:ascii="Wingdings" w:hAnsi="Wingdings" w:hint="default"/>
      </w:rPr>
    </w:lvl>
    <w:lvl w:ilvl="6" w:tplc="11C87E30">
      <w:start w:val="1"/>
      <w:numFmt w:val="bullet"/>
      <w:lvlText w:val=""/>
      <w:lvlJc w:val="left"/>
      <w:pPr>
        <w:ind w:left="4680" w:hanging="360"/>
      </w:pPr>
      <w:rPr>
        <w:rFonts w:ascii="Symbol" w:hAnsi="Symbol" w:hint="default"/>
      </w:rPr>
    </w:lvl>
    <w:lvl w:ilvl="7" w:tplc="8676D566">
      <w:start w:val="1"/>
      <w:numFmt w:val="bullet"/>
      <w:lvlText w:val="o"/>
      <w:lvlJc w:val="left"/>
      <w:pPr>
        <w:ind w:left="5400" w:hanging="360"/>
      </w:pPr>
      <w:rPr>
        <w:rFonts w:ascii="Courier New" w:hAnsi="Courier New" w:hint="default"/>
      </w:rPr>
    </w:lvl>
    <w:lvl w:ilvl="8" w:tplc="21C4DEEA">
      <w:start w:val="1"/>
      <w:numFmt w:val="bullet"/>
      <w:lvlText w:val=""/>
      <w:lvlJc w:val="left"/>
      <w:pPr>
        <w:ind w:left="6120" w:hanging="360"/>
      </w:pPr>
      <w:rPr>
        <w:rFonts w:ascii="Wingdings" w:hAnsi="Wingdings" w:hint="default"/>
      </w:rPr>
    </w:lvl>
  </w:abstractNum>
  <w:abstractNum w:abstractNumId="2" w15:restartNumberingAfterBreak="0">
    <w:nsid w:val="15C020E3"/>
    <w:multiLevelType w:val="hybridMultilevel"/>
    <w:tmpl w:val="8BD29064"/>
    <w:lvl w:ilvl="0" w:tplc="846A4BCC">
      <w:start w:val="1"/>
      <w:numFmt w:val="decimal"/>
      <w:lvlText w:val="%1."/>
      <w:lvlJc w:val="left"/>
      <w:pPr>
        <w:ind w:left="1080" w:hanging="720"/>
      </w:pPr>
      <w:rPr>
        <w:rFonts w:hint="default"/>
      </w:rPr>
    </w:lvl>
    <w:lvl w:ilvl="1" w:tplc="E8F6B14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9833241"/>
    <w:multiLevelType w:val="hybridMultilevel"/>
    <w:tmpl w:val="4608F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00C85"/>
    <w:multiLevelType w:val="hybridMultilevel"/>
    <w:tmpl w:val="16981A8C"/>
    <w:lvl w:ilvl="0" w:tplc="2F821104">
      <w:start w:val="1"/>
      <w:numFmt w:val="bullet"/>
      <w:pStyle w:val="TableList"/>
      <w:lvlText w:val=""/>
      <w:lvlJc w:val="left"/>
      <w:pPr>
        <w:tabs>
          <w:tab w:val="num" w:pos="170"/>
        </w:tabs>
        <w:ind w:left="170" w:hanging="170"/>
      </w:pPr>
      <w:rPr>
        <w:rFonts w:ascii="Symbol" w:hAnsi="Symbol" w:hint="default"/>
      </w:rPr>
    </w:lvl>
    <w:lvl w:ilvl="1" w:tplc="74DCAD10">
      <w:start w:val="1"/>
      <w:numFmt w:val="bullet"/>
      <w:lvlText w:val="o"/>
      <w:lvlJc w:val="left"/>
      <w:pPr>
        <w:ind w:left="1440" w:hanging="360"/>
      </w:pPr>
      <w:rPr>
        <w:rFonts w:ascii="Courier New" w:hAnsi="Courier New" w:hint="default"/>
      </w:rPr>
    </w:lvl>
    <w:lvl w:ilvl="2" w:tplc="B1C2FCCE">
      <w:start w:val="1"/>
      <w:numFmt w:val="bullet"/>
      <w:lvlText w:val=""/>
      <w:lvlJc w:val="left"/>
      <w:pPr>
        <w:ind w:left="2160" w:hanging="360"/>
      </w:pPr>
      <w:rPr>
        <w:rFonts w:ascii="Wingdings" w:hAnsi="Wingdings" w:hint="default"/>
      </w:rPr>
    </w:lvl>
    <w:lvl w:ilvl="3" w:tplc="132E1C08">
      <w:start w:val="1"/>
      <w:numFmt w:val="bullet"/>
      <w:lvlText w:val=""/>
      <w:lvlJc w:val="left"/>
      <w:pPr>
        <w:ind w:left="2880" w:hanging="360"/>
      </w:pPr>
      <w:rPr>
        <w:rFonts w:ascii="Symbol" w:hAnsi="Symbol" w:hint="default"/>
      </w:rPr>
    </w:lvl>
    <w:lvl w:ilvl="4" w:tplc="D1E6FE98">
      <w:start w:val="1"/>
      <w:numFmt w:val="bullet"/>
      <w:lvlText w:val="o"/>
      <w:lvlJc w:val="left"/>
      <w:pPr>
        <w:ind w:left="3600" w:hanging="360"/>
      </w:pPr>
      <w:rPr>
        <w:rFonts w:ascii="Courier New" w:hAnsi="Courier New" w:hint="default"/>
      </w:rPr>
    </w:lvl>
    <w:lvl w:ilvl="5" w:tplc="9656E8E8">
      <w:start w:val="1"/>
      <w:numFmt w:val="bullet"/>
      <w:lvlText w:val=""/>
      <w:lvlJc w:val="left"/>
      <w:pPr>
        <w:ind w:left="4320" w:hanging="360"/>
      </w:pPr>
      <w:rPr>
        <w:rFonts w:ascii="Wingdings" w:hAnsi="Wingdings" w:hint="default"/>
      </w:rPr>
    </w:lvl>
    <w:lvl w:ilvl="6" w:tplc="A07E8C9E">
      <w:start w:val="1"/>
      <w:numFmt w:val="bullet"/>
      <w:lvlText w:val=""/>
      <w:lvlJc w:val="left"/>
      <w:pPr>
        <w:ind w:left="5040" w:hanging="360"/>
      </w:pPr>
      <w:rPr>
        <w:rFonts w:ascii="Symbol" w:hAnsi="Symbol" w:hint="default"/>
      </w:rPr>
    </w:lvl>
    <w:lvl w:ilvl="7" w:tplc="0BA4F13E">
      <w:start w:val="1"/>
      <w:numFmt w:val="bullet"/>
      <w:lvlText w:val="o"/>
      <w:lvlJc w:val="left"/>
      <w:pPr>
        <w:ind w:left="5760" w:hanging="360"/>
      </w:pPr>
      <w:rPr>
        <w:rFonts w:ascii="Courier New" w:hAnsi="Courier New" w:hint="default"/>
      </w:rPr>
    </w:lvl>
    <w:lvl w:ilvl="8" w:tplc="6F6E6868">
      <w:start w:val="1"/>
      <w:numFmt w:val="bullet"/>
      <w:lvlText w:val=""/>
      <w:lvlJc w:val="left"/>
      <w:pPr>
        <w:ind w:left="6480" w:hanging="360"/>
      </w:pPr>
      <w:rPr>
        <w:rFonts w:ascii="Wingdings" w:hAnsi="Wingdings" w:hint="default"/>
      </w:rPr>
    </w:lvl>
  </w:abstractNum>
  <w:abstractNum w:abstractNumId="5" w15:restartNumberingAfterBreak="0">
    <w:nsid w:val="2FB7406E"/>
    <w:multiLevelType w:val="hybridMultilevel"/>
    <w:tmpl w:val="F066100E"/>
    <w:lvl w:ilvl="0" w:tplc="58DC896E">
      <w:start w:val="1"/>
      <w:numFmt w:val="bullet"/>
      <w:lvlText w:val=""/>
      <w:lvlJc w:val="left"/>
      <w:pPr>
        <w:ind w:left="360" w:hanging="360"/>
      </w:pPr>
      <w:rPr>
        <w:rFonts w:ascii="Symbol" w:hAnsi="Symbol" w:hint="default"/>
      </w:rPr>
    </w:lvl>
    <w:lvl w:ilvl="1" w:tplc="C9DA2484">
      <w:start w:val="1"/>
      <w:numFmt w:val="bullet"/>
      <w:lvlText w:val="o"/>
      <w:lvlJc w:val="left"/>
      <w:pPr>
        <w:ind w:left="1080" w:hanging="360"/>
      </w:pPr>
      <w:rPr>
        <w:rFonts w:ascii="Courier New" w:hAnsi="Courier New" w:hint="default"/>
      </w:rPr>
    </w:lvl>
    <w:lvl w:ilvl="2" w:tplc="3F60D38C">
      <w:start w:val="1"/>
      <w:numFmt w:val="bullet"/>
      <w:lvlText w:val=""/>
      <w:lvlJc w:val="left"/>
      <w:pPr>
        <w:ind w:left="1800" w:hanging="360"/>
      </w:pPr>
      <w:rPr>
        <w:rFonts w:ascii="Wingdings" w:hAnsi="Wingdings" w:hint="default"/>
      </w:rPr>
    </w:lvl>
    <w:lvl w:ilvl="3" w:tplc="5614D0E6">
      <w:start w:val="1"/>
      <w:numFmt w:val="bullet"/>
      <w:lvlText w:val=""/>
      <w:lvlJc w:val="left"/>
      <w:pPr>
        <w:ind w:left="2520" w:hanging="360"/>
      </w:pPr>
      <w:rPr>
        <w:rFonts w:ascii="Symbol" w:hAnsi="Symbol" w:hint="default"/>
      </w:rPr>
    </w:lvl>
    <w:lvl w:ilvl="4" w:tplc="8BA004FE">
      <w:start w:val="1"/>
      <w:numFmt w:val="bullet"/>
      <w:lvlText w:val="o"/>
      <w:lvlJc w:val="left"/>
      <w:pPr>
        <w:ind w:left="3240" w:hanging="360"/>
      </w:pPr>
      <w:rPr>
        <w:rFonts w:ascii="Courier New" w:hAnsi="Courier New" w:hint="default"/>
      </w:rPr>
    </w:lvl>
    <w:lvl w:ilvl="5" w:tplc="CD92CFC4">
      <w:start w:val="1"/>
      <w:numFmt w:val="bullet"/>
      <w:lvlText w:val=""/>
      <w:lvlJc w:val="left"/>
      <w:pPr>
        <w:ind w:left="3960" w:hanging="360"/>
      </w:pPr>
      <w:rPr>
        <w:rFonts w:ascii="Wingdings" w:hAnsi="Wingdings" w:hint="default"/>
      </w:rPr>
    </w:lvl>
    <w:lvl w:ilvl="6" w:tplc="2160C18E">
      <w:start w:val="1"/>
      <w:numFmt w:val="bullet"/>
      <w:lvlText w:val=""/>
      <w:lvlJc w:val="left"/>
      <w:pPr>
        <w:ind w:left="4680" w:hanging="360"/>
      </w:pPr>
      <w:rPr>
        <w:rFonts w:ascii="Symbol" w:hAnsi="Symbol" w:hint="default"/>
      </w:rPr>
    </w:lvl>
    <w:lvl w:ilvl="7" w:tplc="1BF2641C">
      <w:start w:val="1"/>
      <w:numFmt w:val="bullet"/>
      <w:lvlText w:val="o"/>
      <w:lvlJc w:val="left"/>
      <w:pPr>
        <w:ind w:left="5400" w:hanging="360"/>
      </w:pPr>
      <w:rPr>
        <w:rFonts w:ascii="Courier New" w:hAnsi="Courier New" w:hint="default"/>
      </w:rPr>
    </w:lvl>
    <w:lvl w:ilvl="8" w:tplc="1EEA5E5E">
      <w:start w:val="1"/>
      <w:numFmt w:val="bullet"/>
      <w:lvlText w:val=""/>
      <w:lvlJc w:val="left"/>
      <w:pPr>
        <w:ind w:left="6120" w:hanging="360"/>
      </w:pPr>
      <w:rPr>
        <w:rFonts w:ascii="Wingdings" w:hAnsi="Wingdings" w:hint="default"/>
      </w:rPr>
    </w:lvl>
  </w:abstractNum>
  <w:abstractNum w:abstractNumId="6" w15:restartNumberingAfterBreak="0">
    <w:nsid w:val="34264354"/>
    <w:multiLevelType w:val="hybridMultilevel"/>
    <w:tmpl w:val="43F6A30C"/>
    <w:lvl w:ilvl="0" w:tplc="90E07678">
      <w:start w:val="1"/>
      <w:numFmt w:val="bullet"/>
      <w:lvlText w:val=""/>
      <w:lvlJc w:val="left"/>
      <w:pPr>
        <w:ind w:left="360" w:hanging="360"/>
      </w:pPr>
      <w:rPr>
        <w:rFonts w:ascii="Symbol" w:hAnsi="Symbol" w:hint="default"/>
      </w:rPr>
    </w:lvl>
    <w:lvl w:ilvl="1" w:tplc="6AEEBD58">
      <w:start w:val="1"/>
      <w:numFmt w:val="bullet"/>
      <w:lvlText w:val="o"/>
      <w:lvlJc w:val="left"/>
      <w:pPr>
        <w:ind w:left="1080" w:hanging="360"/>
      </w:pPr>
      <w:rPr>
        <w:rFonts w:ascii="Courier New" w:hAnsi="Courier New" w:hint="default"/>
      </w:rPr>
    </w:lvl>
    <w:lvl w:ilvl="2" w:tplc="5D80567C">
      <w:start w:val="1"/>
      <w:numFmt w:val="bullet"/>
      <w:lvlText w:val=""/>
      <w:lvlJc w:val="left"/>
      <w:pPr>
        <w:ind w:left="1800" w:hanging="360"/>
      </w:pPr>
      <w:rPr>
        <w:rFonts w:ascii="Wingdings" w:hAnsi="Wingdings" w:hint="default"/>
      </w:rPr>
    </w:lvl>
    <w:lvl w:ilvl="3" w:tplc="469C328E">
      <w:start w:val="1"/>
      <w:numFmt w:val="bullet"/>
      <w:lvlText w:val=""/>
      <w:lvlJc w:val="left"/>
      <w:pPr>
        <w:ind w:left="2520" w:hanging="360"/>
      </w:pPr>
      <w:rPr>
        <w:rFonts w:ascii="Symbol" w:hAnsi="Symbol" w:hint="default"/>
      </w:rPr>
    </w:lvl>
    <w:lvl w:ilvl="4" w:tplc="BEEA9A6A">
      <w:start w:val="1"/>
      <w:numFmt w:val="bullet"/>
      <w:lvlText w:val="o"/>
      <w:lvlJc w:val="left"/>
      <w:pPr>
        <w:ind w:left="3240" w:hanging="360"/>
      </w:pPr>
      <w:rPr>
        <w:rFonts w:ascii="Courier New" w:hAnsi="Courier New" w:hint="default"/>
      </w:rPr>
    </w:lvl>
    <w:lvl w:ilvl="5" w:tplc="734ED666">
      <w:start w:val="1"/>
      <w:numFmt w:val="bullet"/>
      <w:lvlText w:val=""/>
      <w:lvlJc w:val="left"/>
      <w:pPr>
        <w:ind w:left="3960" w:hanging="360"/>
      </w:pPr>
      <w:rPr>
        <w:rFonts w:ascii="Wingdings" w:hAnsi="Wingdings" w:hint="default"/>
      </w:rPr>
    </w:lvl>
    <w:lvl w:ilvl="6" w:tplc="9D4A93E0">
      <w:start w:val="1"/>
      <w:numFmt w:val="bullet"/>
      <w:lvlText w:val=""/>
      <w:lvlJc w:val="left"/>
      <w:pPr>
        <w:ind w:left="4680" w:hanging="360"/>
      </w:pPr>
      <w:rPr>
        <w:rFonts w:ascii="Symbol" w:hAnsi="Symbol" w:hint="default"/>
      </w:rPr>
    </w:lvl>
    <w:lvl w:ilvl="7" w:tplc="8C504256">
      <w:start w:val="1"/>
      <w:numFmt w:val="bullet"/>
      <w:lvlText w:val="o"/>
      <w:lvlJc w:val="left"/>
      <w:pPr>
        <w:ind w:left="5400" w:hanging="360"/>
      </w:pPr>
      <w:rPr>
        <w:rFonts w:ascii="Courier New" w:hAnsi="Courier New" w:hint="default"/>
      </w:rPr>
    </w:lvl>
    <w:lvl w:ilvl="8" w:tplc="45BEE364">
      <w:start w:val="1"/>
      <w:numFmt w:val="bullet"/>
      <w:lvlText w:val=""/>
      <w:lvlJc w:val="left"/>
      <w:pPr>
        <w:ind w:left="6120" w:hanging="360"/>
      </w:pPr>
      <w:rPr>
        <w:rFonts w:ascii="Wingdings" w:hAnsi="Wingdings" w:hint="default"/>
      </w:rPr>
    </w:lvl>
  </w:abstractNum>
  <w:abstractNum w:abstractNumId="7" w15:restartNumberingAfterBreak="0">
    <w:nsid w:val="3654015F"/>
    <w:multiLevelType w:val="hybridMultilevel"/>
    <w:tmpl w:val="8098AC12"/>
    <w:lvl w:ilvl="0" w:tplc="C8141BDE">
      <w:start w:val="1"/>
      <w:numFmt w:val="bullet"/>
      <w:lvlText w:val=""/>
      <w:lvlJc w:val="left"/>
      <w:pPr>
        <w:ind w:left="360" w:hanging="360"/>
      </w:pPr>
      <w:rPr>
        <w:rFonts w:ascii="Symbol" w:hAnsi="Symbol" w:hint="default"/>
      </w:rPr>
    </w:lvl>
    <w:lvl w:ilvl="1" w:tplc="9594C3BA">
      <w:start w:val="1"/>
      <w:numFmt w:val="bullet"/>
      <w:lvlText w:val="o"/>
      <w:lvlJc w:val="left"/>
      <w:pPr>
        <w:ind w:left="1080" w:hanging="360"/>
      </w:pPr>
      <w:rPr>
        <w:rFonts w:ascii="Courier New" w:hAnsi="Courier New" w:hint="default"/>
      </w:rPr>
    </w:lvl>
    <w:lvl w:ilvl="2" w:tplc="6E2E5AEE">
      <w:start w:val="1"/>
      <w:numFmt w:val="bullet"/>
      <w:lvlText w:val=""/>
      <w:lvlJc w:val="left"/>
      <w:pPr>
        <w:ind w:left="1800" w:hanging="360"/>
      </w:pPr>
      <w:rPr>
        <w:rFonts w:ascii="Wingdings" w:hAnsi="Wingdings" w:hint="default"/>
      </w:rPr>
    </w:lvl>
    <w:lvl w:ilvl="3" w:tplc="D564DD9A">
      <w:start w:val="1"/>
      <w:numFmt w:val="bullet"/>
      <w:lvlText w:val=""/>
      <w:lvlJc w:val="left"/>
      <w:pPr>
        <w:ind w:left="2520" w:hanging="360"/>
      </w:pPr>
      <w:rPr>
        <w:rFonts w:ascii="Symbol" w:hAnsi="Symbol" w:hint="default"/>
      </w:rPr>
    </w:lvl>
    <w:lvl w:ilvl="4" w:tplc="F542AF0E">
      <w:start w:val="1"/>
      <w:numFmt w:val="bullet"/>
      <w:lvlText w:val="o"/>
      <w:lvlJc w:val="left"/>
      <w:pPr>
        <w:ind w:left="3240" w:hanging="360"/>
      </w:pPr>
      <w:rPr>
        <w:rFonts w:ascii="Courier New" w:hAnsi="Courier New" w:hint="default"/>
      </w:rPr>
    </w:lvl>
    <w:lvl w:ilvl="5" w:tplc="32869980">
      <w:start w:val="1"/>
      <w:numFmt w:val="bullet"/>
      <w:lvlText w:val=""/>
      <w:lvlJc w:val="left"/>
      <w:pPr>
        <w:ind w:left="3960" w:hanging="360"/>
      </w:pPr>
      <w:rPr>
        <w:rFonts w:ascii="Wingdings" w:hAnsi="Wingdings" w:hint="default"/>
      </w:rPr>
    </w:lvl>
    <w:lvl w:ilvl="6" w:tplc="29B425F8">
      <w:start w:val="1"/>
      <w:numFmt w:val="bullet"/>
      <w:lvlText w:val=""/>
      <w:lvlJc w:val="left"/>
      <w:pPr>
        <w:ind w:left="4680" w:hanging="360"/>
      </w:pPr>
      <w:rPr>
        <w:rFonts w:ascii="Symbol" w:hAnsi="Symbol" w:hint="default"/>
      </w:rPr>
    </w:lvl>
    <w:lvl w:ilvl="7" w:tplc="E5A23266">
      <w:start w:val="1"/>
      <w:numFmt w:val="bullet"/>
      <w:lvlText w:val="o"/>
      <w:lvlJc w:val="left"/>
      <w:pPr>
        <w:ind w:left="5400" w:hanging="360"/>
      </w:pPr>
      <w:rPr>
        <w:rFonts w:ascii="Courier New" w:hAnsi="Courier New" w:hint="default"/>
      </w:rPr>
    </w:lvl>
    <w:lvl w:ilvl="8" w:tplc="03A885E6">
      <w:start w:val="1"/>
      <w:numFmt w:val="bullet"/>
      <w:lvlText w:val=""/>
      <w:lvlJc w:val="left"/>
      <w:pPr>
        <w:ind w:left="6120" w:hanging="360"/>
      </w:pPr>
      <w:rPr>
        <w:rFonts w:ascii="Wingdings" w:hAnsi="Wingdings" w:hint="default"/>
      </w:rPr>
    </w:lvl>
  </w:abstractNum>
  <w:abstractNum w:abstractNumId="8" w15:restartNumberingAfterBreak="0">
    <w:nsid w:val="36F506CF"/>
    <w:multiLevelType w:val="hybridMultilevel"/>
    <w:tmpl w:val="C10095C4"/>
    <w:lvl w:ilvl="0" w:tplc="4920D48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D742CB"/>
    <w:multiLevelType w:val="hybridMultilevel"/>
    <w:tmpl w:val="2EB8BF92"/>
    <w:lvl w:ilvl="0" w:tplc="C1E02310">
      <w:start w:val="1"/>
      <w:numFmt w:val="bullet"/>
      <w:lvlText w:val=""/>
      <w:lvlJc w:val="left"/>
      <w:pPr>
        <w:ind w:left="360" w:hanging="360"/>
      </w:pPr>
      <w:rPr>
        <w:rFonts w:ascii="Symbol" w:hAnsi="Symbol" w:hint="default"/>
      </w:rPr>
    </w:lvl>
    <w:lvl w:ilvl="1" w:tplc="9EEE8FC6">
      <w:start w:val="1"/>
      <w:numFmt w:val="bullet"/>
      <w:lvlText w:val="o"/>
      <w:lvlJc w:val="left"/>
      <w:pPr>
        <w:ind w:left="1080" w:hanging="360"/>
      </w:pPr>
      <w:rPr>
        <w:rFonts w:ascii="Courier New" w:hAnsi="Courier New" w:hint="default"/>
      </w:rPr>
    </w:lvl>
    <w:lvl w:ilvl="2" w:tplc="0764049C">
      <w:start w:val="1"/>
      <w:numFmt w:val="bullet"/>
      <w:lvlText w:val=""/>
      <w:lvlJc w:val="left"/>
      <w:pPr>
        <w:ind w:left="1800" w:hanging="360"/>
      </w:pPr>
      <w:rPr>
        <w:rFonts w:ascii="Wingdings" w:hAnsi="Wingdings" w:hint="default"/>
      </w:rPr>
    </w:lvl>
    <w:lvl w:ilvl="3" w:tplc="3A66B75E">
      <w:start w:val="1"/>
      <w:numFmt w:val="bullet"/>
      <w:lvlText w:val=""/>
      <w:lvlJc w:val="left"/>
      <w:pPr>
        <w:ind w:left="2520" w:hanging="360"/>
      </w:pPr>
      <w:rPr>
        <w:rFonts w:ascii="Symbol" w:hAnsi="Symbol" w:hint="default"/>
      </w:rPr>
    </w:lvl>
    <w:lvl w:ilvl="4" w:tplc="2422B0B6">
      <w:start w:val="1"/>
      <w:numFmt w:val="bullet"/>
      <w:lvlText w:val="o"/>
      <w:lvlJc w:val="left"/>
      <w:pPr>
        <w:ind w:left="3240" w:hanging="360"/>
      </w:pPr>
      <w:rPr>
        <w:rFonts w:ascii="Courier New" w:hAnsi="Courier New" w:hint="default"/>
      </w:rPr>
    </w:lvl>
    <w:lvl w:ilvl="5" w:tplc="B87A8E36">
      <w:start w:val="1"/>
      <w:numFmt w:val="bullet"/>
      <w:lvlText w:val=""/>
      <w:lvlJc w:val="left"/>
      <w:pPr>
        <w:ind w:left="3960" w:hanging="360"/>
      </w:pPr>
      <w:rPr>
        <w:rFonts w:ascii="Wingdings" w:hAnsi="Wingdings" w:hint="default"/>
      </w:rPr>
    </w:lvl>
    <w:lvl w:ilvl="6" w:tplc="3D4880C0">
      <w:start w:val="1"/>
      <w:numFmt w:val="bullet"/>
      <w:lvlText w:val=""/>
      <w:lvlJc w:val="left"/>
      <w:pPr>
        <w:ind w:left="4680" w:hanging="360"/>
      </w:pPr>
      <w:rPr>
        <w:rFonts w:ascii="Symbol" w:hAnsi="Symbol" w:hint="default"/>
      </w:rPr>
    </w:lvl>
    <w:lvl w:ilvl="7" w:tplc="BBDA39E6">
      <w:start w:val="1"/>
      <w:numFmt w:val="bullet"/>
      <w:lvlText w:val="o"/>
      <w:lvlJc w:val="left"/>
      <w:pPr>
        <w:ind w:left="5400" w:hanging="360"/>
      </w:pPr>
      <w:rPr>
        <w:rFonts w:ascii="Courier New" w:hAnsi="Courier New" w:hint="default"/>
      </w:rPr>
    </w:lvl>
    <w:lvl w:ilvl="8" w:tplc="9344FD06">
      <w:start w:val="1"/>
      <w:numFmt w:val="bullet"/>
      <w:lvlText w:val=""/>
      <w:lvlJc w:val="left"/>
      <w:pPr>
        <w:ind w:left="6120" w:hanging="360"/>
      </w:pPr>
      <w:rPr>
        <w:rFonts w:ascii="Wingdings" w:hAnsi="Wingdings" w:hint="default"/>
      </w:rPr>
    </w:lvl>
  </w:abstractNum>
  <w:abstractNum w:abstractNumId="10" w15:restartNumberingAfterBreak="0">
    <w:nsid w:val="45E65676"/>
    <w:multiLevelType w:val="hybridMultilevel"/>
    <w:tmpl w:val="8854718C"/>
    <w:lvl w:ilvl="0" w:tplc="88189938">
      <w:start w:val="1"/>
      <w:numFmt w:val="bullet"/>
      <w:lvlText w:val=""/>
      <w:lvlJc w:val="left"/>
      <w:pPr>
        <w:ind w:left="720" w:hanging="360"/>
      </w:pPr>
      <w:rPr>
        <w:rFonts w:ascii="Symbol" w:hAnsi="Symbol" w:hint="default"/>
      </w:rPr>
    </w:lvl>
    <w:lvl w:ilvl="1" w:tplc="76C4D114">
      <w:start w:val="1"/>
      <w:numFmt w:val="bullet"/>
      <w:lvlText w:val="o"/>
      <w:lvlJc w:val="left"/>
      <w:pPr>
        <w:ind w:left="1440" w:hanging="360"/>
      </w:pPr>
      <w:rPr>
        <w:rFonts w:ascii="Courier New" w:hAnsi="Courier New" w:hint="default"/>
      </w:rPr>
    </w:lvl>
    <w:lvl w:ilvl="2" w:tplc="79FA0CF4">
      <w:start w:val="1"/>
      <w:numFmt w:val="bullet"/>
      <w:lvlText w:val=""/>
      <w:lvlJc w:val="left"/>
      <w:pPr>
        <w:ind w:left="2160" w:hanging="360"/>
      </w:pPr>
      <w:rPr>
        <w:rFonts w:ascii="Wingdings" w:hAnsi="Wingdings" w:hint="default"/>
      </w:rPr>
    </w:lvl>
    <w:lvl w:ilvl="3" w:tplc="674C2FA8">
      <w:start w:val="1"/>
      <w:numFmt w:val="bullet"/>
      <w:lvlText w:val=""/>
      <w:lvlJc w:val="left"/>
      <w:pPr>
        <w:ind w:left="2880" w:hanging="360"/>
      </w:pPr>
      <w:rPr>
        <w:rFonts w:ascii="Symbol" w:hAnsi="Symbol" w:hint="default"/>
      </w:rPr>
    </w:lvl>
    <w:lvl w:ilvl="4" w:tplc="B29200F8">
      <w:start w:val="1"/>
      <w:numFmt w:val="bullet"/>
      <w:lvlText w:val="o"/>
      <w:lvlJc w:val="left"/>
      <w:pPr>
        <w:ind w:left="3600" w:hanging="360"/>
      </w:pPr>
      <w:rPr>
        <w:rFonts w:ascii="Courier New" w:hAnsi="Courier New" w:hint="default"/>
      </w:rPr>
    </w:lvl>
    <w:lvl w:ilvl="5" w:tplc="7D22ED8A">
      <w:start w:val="1"/>
      <w:numFmt w:val="bullet"/>
      <w:lvlText w:val=""/>
      <w:lvlJc w:val="left"/>
      <w:pPr>
        <w:ind w:left="4320" w:hanging="360"/>
      </w:pPr>
      <w:rPr>
        <w:rFonts w:ascii="Wingdings" w:hAnsi="Wingdings" w:hint="default"/>
      </w:rPr>
    </w:lvl>
    <w:lvl w:ilvl="6" w:tplc="74DEDA44">
      <w:start w:val="1"/>
      <w:numFmt w:val="bullet"/>
      <w:lvlText w:val=""/>
      <w:lvlJc w:val="left"/>
      <w:pPr>
        <w:ind w:left="5040" w:hanging="360"/>
      </w:pPr>
      <w:rPr>
        <w:rFonts w:ascii="Symbol" w:hAnsi="Symbol" w:hint="default"/>
      </w:rPr>
    </w:lvl>
    <w:lvl w:ilvl="7" w:tplc="E4309E18">
      <w:start w:val="1"/>
      <w:numFmt w:val="bullet"/>
      <w:lvlText w:val="o"/>
      <w:lvlJc w:val="left"/>
      <w:pPr>
        <w:ind w:left="5760" w:hanging="360"/>
      </w:pPr>
      <w:rPr>
        <w:rFonts w:ascii="Courier New" w:hAnsi="Courier New" w:hint="default"/>
      </w:rPr>
    </w:lvl>
    <w:lvl w:ilvl="8" w:tplc="794A9996">
      <w:start w:val="1"/>
      <w:numFmt w:val="bullet"/>
      <w:lvlText w:val=""/>
      <w:lvlJc w:val="left"/>
      <w:pPr>
        <w:ind w:left="6480" w:hanging="360"/>
      </w:pPr>
      <w:rPr>
        <w:rFonts w:ascii="Wingdings" w:hAnsi="Wingdings" w:hint="default"/>
      </w:rPr>
    </w:lvl>
  </w:abstractNum>
  <w:abstractNum w:abstractNumId="11" w15:restartNumberingAfterBreak="0">
    <w:nsid w:val="47887A6D"/>
    <w:multiLevelType w:val="hybridMultilevel"/>
    <w:tmpl w:val="05D2B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D07345"/>
    <w:multiLevelType w:val="hybridMultilevel"/>
    <w:tmpl w:val="209C6128"/>
    <w:lvl w:ilvl="0" w:tplc="7C683B3E">
      <w:start w:val="1"/>
      <w:numFmt w:val="bullet"/>
      <w:pStyle w:val="ListItem-Bullet"/>
      <w:lvlText w:val=""/>
      <w:lvlJc w:val="left"/>
      <w:pPr>
        <w:tabs>
          <w:tab w:val="num" w:pos="340"/>
        </w:tabs>
        <w:ind w:left="340" w:hanging="340"/>
      </w:pPr>
      <w:rPr>
        <w:rFonts w:ascii="Symbol" w:hAnsi="Symbol" w:hint="default"/>
        <w:color w:val="auto"/>
        <w:u w:color="44546A" w:themeColor="text2"/>
      </w:rPr>
    </w:lvl>
    <w:lvl w:ilvl="1" w:tplc="FCC25CE2">
      <w:start w:val="1"/>
      <w:numFmt w:val="bullet"/>
      <w:lvlText w:val="o"/>
      <w:lvlJc w:val="left"/>
      <w:pPr>
        <w:tabs>
          <w:tab w:val="num" w:pos="510"/>
        </w:tabs>
        <w:ind w:left="510" w:hanging="283"/>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E46D26"/>
    <w:multiLevelType w:val="hybridMultilevel"/>
    <w:tmpl w:val="1D04A56A"/>
    <w:lvl w:ilvl="0" w:tplc="528E7804">
      <w:start w:val="1"/>
      <w:numFmt w:val="bullet"/>
      <w:lvlText w:val=""/>
      <w:lvlJc w:val="left"/>
      <w:pPr>
        <w:ind w:left="720" w:hanging="360"/>
      </w:pPr>
      <w:rPr>
        <w:rFonts w:ascii="Symbol" w:hAnsi="Symbol" w:hint="default"/>
      </w:rPr>
    </w:lvl>
    <w:lvl w:ilvl="1" w:tplc="9064F0AC">
      <w:start w:val="1"/>
      <w:numFmt w:val="bullet"/>
      <w:lvlText w:val="o"/>
      <w:lvlJc w:val="left"/>
      <w:pPr>
        <w:ind w:left="1440" w:hanging="360"/>
      </w:pPr>
      <w:rPr>
        <w:rFonts w:ascii="Courier New" w:hAnsi="Courier New" w:hint="default"/>
      </w:rPr>
    </w:lvl>
    <w:lvl w:ilvl="2" w:tplc="B152482C">
      <w:start w:val="1"/>
      <w:numFmt w:val="bullet"/>
      <w:lvlText w:val=""/>
      <w:lvlJc w:val="left"/>
      <w:pPr>
        <w:ind w:left="2160" w:hanging="360"/>
      </w:pPr>
      <w:rPr>
        <w:rFonts w:ascii="Wingdings" w:hAnsi="Wingdings" w:hint="default"/>
      </w:rPr>
    </w:lvl>
    <w:lvl w:ilvl="3" w:tplc="0D76E18A">
      <w:start w:val="1"/>
      <w:numFmt w:val="bullet"/>
      <w:lvlText w:val=""/>
      <w:lvlJc w:val="left"/>
      <w:pPr>
        <w:ind w:left="2880" w:hanging="360"/>
      </w:pPr>
      <w:rPr>
        <w:rFonts w:ascii="Symbol" w:hAnsi="Symbol" w:hint="default"/>
      </w:rPr>
    </w:lvl>
    <w:lvl w:ilvl="4" w:tplc="175C8668">
      <w:start w:val="1"/>
      <w:numFmt w:val="bullet"/>
      <w:lvlText w:val="o"/>
      <w:lvlJc w:val="left"/>
      <w:pPr>
        <w:ind w:left="3600" w:hanging="360"/>
      </w:pPr>
      <w:rPr>
        <w:rFonts w:ascii="Courier New" w:hAnsi="Courier New" w:hint="default"/>
      </w:rPr>
    </w:lvl>
    <w:lvl w:ilvl="5" w:tplc="C2DE6C10">
      <w:start w:val="1"/>
      <w:numFmt w:val="bullet"/>
      <w:lvlText w:val=""/>
      <w:lvlJc w:val="left"/>
      <w:pPr>
        <w:ind w:left="4320" w:hanging="360"/>
      </w:pPr>
      <w:rPr>
        <w:rFonts w:ascii="Wingdings" w:hAnsi="Wingdings" w:hint="default"/>
      </w:rPr>
    </w:lvl>
    <w:lvl w:ilvl="6" w:tplc="15B66F78">
      <w:start w:val="1"/>
      <w:numFmt w:val="bullet"/>
      <w:lvlText w:val=""/>
      <w:lvlJc w:val="left"/>
      <w:pPr>
        <w:ind w:left="5040" w:hanging="360"/>
      </w:pPr>
      <w:rPr>
        <w:rFonts w:ascii="Symbol" w:hAnsi="Symbol" w:hint="default"/>
      </w:rPr>
    </w:lvl>
    <w:lvl w:ilvl="7" w:tplc="D2860E40">
      <w:start w:val="1"/>
      <w:numFmt w:val="bullet"/>
      <w:lvlText w:val="o"/>
      <w:lvlJc w:val="left"/>
      <w:pPr>
        <w:ind w:left="5760" w:hanging="360"/>
      </w:pPr>
      <w:rPr>
        <w:rFonts w:ascii="Courier New" w:hAnsi="Courier New" w:hint="default"/>
      </w:rPr>
    </w:lvl>
    <w:lvl w:ilvl="8" w:tplc="EE165F5C">
      <w:start w:val="1"/>
      <w:numFmt w:val="bullet"/>
      <w:lvlText w:val=""/>
      <w:lvlJc w:val="left"/>
      <w:pPr>
        <w:ind w:left="6480" w:hanging="360"/>
      </w:pPr>
      <w:rPr>
        <w:rFonts w:ascii="Wingdings" w:hAnsi="Wingdings" w:hint="default"/>
      </w:rPr>
    </w:lvl>
  </w:abstractNum>
  <w:abstractNum w:abstractNumId="14" w15:restartNumberingAfterBreak="0">
    <w:nsid w:val="4BD0404D"/>
    <w:multiLevelType w:val="hybridMultilevel"/>
    <w:tmpl w:val="0D70DD9E"/>
    <w:lvl w:ilvl="0" w:tplc="AF025B76">
      <w:start w:val="1"/>
      <w:numFmt w:val="bullet"/>
      <w:lvlText w:val=""/>
      <w:lvlJc w:val="left"/>
      <w:pPr>
        <w:ind w:left="360" w:hanging="360"/>
      </w:pPr>
      <w:rPr>
        <w:rFonts w:ascii="Symbol" w:hAnsi="Symbol" w:hint="default"/>
      </w:rPr>
    </w:lvl>
    <w:lvl w:ilvl="1" w:tplc="143698B8">
      <w:start w:val="1"/>
      <w:numFmt w:val="bullet"/>
      <w:lvlText w:val="o"/>
      <w:lvlJc w:val="left"/>
      <w:pPr>
        <w:ind w:left="1080" w:hanging="360"/>
      </w:pPr>
      <w:rPr>
        <w:rFonts w:ascii="Courier New" w:hAnsi="Courier New" w:hint="default"/>
      </w:rPr>
    </w:lvl>
    <w:lvl w:ilvl="2" w:tplc="45D08B5A">
      <w:start w:val="1"/>
      <w:numFmt w:val="bullet"/>
      <w:lvlText w:val=""/>
      <w:lvlJc w:val="left"/>
      <w:pPr>
        <w:ind w:left="1800" w:hanging="360"/>
      </w:pPr>
      <w:rPr>
        <w:rFonts w:ascii="Wingdings" w:hAnsi="Wingdings" w:hint="default"/>
      </w:rPr>
    </w:lvl>
    <w:lvl w:ilvl="3" w:tplc="6DEC5C06">
      <w:start w:val="1"/>
      <w:numFmt w:val="bullet"/>
      <w:lvlText w:val=""/>
      <w:lvlJc w:val="left"/>
      <w:pPr>
        <w:ind w:left="2520" w:hanging="360"/>
      </w:pPr>
      <w:rPr>
        <w:rFonts w:ascii="Symbol" w:hAnsi="Symbol" w:hint="default"/>
      </w:rPr>
    </w:lvl>
    <w:lvl w:ilvl="4" w:tplc="A838F954">
      <w:start w:val="1"/>
      <w:numFmt w:val="bullet"/>
      <w:lvlText w:val="o"/>
      <w:lvlJc w:val="left"/>
      <w:pPr>
        <w:ind w:left="3240" w:hanging="360"/>
      </w:pPr>
      <w:rPr>
        <w:rFonts w:ascii="Courier New" w:hAnsi="Courier New" w:hint="default"/>
      </w:rPr>
    </w:lvl>
    <w:lvl w:ilvl="5" w:tplc="C14E4C0C">
      <w:start w:val="1"/>
      <w:numFmt w:val="bullet"/>
      <w:lvlText w:val=""/>
      <w:lvlJc w:val="left"/>
      <w:pPr>
        <w:ind w:left="3960" w:hanging="360"/>
      </w:pPr>
      <w:rPr>
        <w:rFonts w:ascii="Wingdings" w:hAnsi="Wingdings" w:hint="default"/>
      </w:rPr>
    </w:lvl>
    <w:lvl w:ilvl="6" w:tplc="E662C7A8">
      <w:start w:val="1"/>
      <w:numFmt w:val="bullet"/>
      <w:lvlText w:val=""/>
      <w:lvlJc w:val="left"/>
      <w:pPr>
        <w:ind w:left="4680" w:hanging="360"/>
      </w:pPr>
      <w:rPr>
        <w:rFonts w:ascii="Symbol" w:hAnsi="Symbol" w:hint="default"/>
      </w:rPr>
    </w:lvl>
    <w:lvl w:ilvl="7" w:tplc="14A6A7FC">
      <w:start w:val="1"/>
      <w:numFmt w:val="bullet"/>
      <w:lvlText w:val="o"/>
      <w:lvlJc w:val="left"/>
      <w:pPr>
        <w:ind w:left="5400" w:hanging="360"/>
      </w:pPr>
      <w:rPr>
        <w:rFonts w:ascii="Courier New" w:hAnsi="Courier New" w:hint="default"/>
      </w:rPr>
    </w:lvl>
    <w:lvl w:ilvl="8" w:tplc="F9922146">
      <w:start w:val="1"/>
      <w:numFmt w:val="bullet"/>
      <w:lvlText w:val=""/>
      <w:lvlJc w:val="left"/>
      <w:pPr>
        <w:ind w:left="6120" w:hanging="360"/>
      </w:pPr>
      <w:rPr>
        <w:rFonts w:ascii="Wingdings" w:hAnsi="Wingdings" w:hint="default"/>
      </w:rPr>
    </w:lvl>
  </w:abstractNum>
  <w:abstractNum w:abstractNumId="15" w15:restartNumberingAfterBreak="0">
    <w:nsid w:val="53133DA2"/>
    <w:multiLevelType w:val="hybridMultilevel"/>
    <w:tmpl w:val="63A2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CB67E5"/>
    <w:multiLevelType w:val="hybridMultilevel"/>
    <w:tmpl w:val="0EF8A520"/>
    <w:lvl w:ilvl="0" w:tplc="2BC6A0A2">
      <w:start w:val="1"/>
      <w:numFmt w:val="bullet"/>
      <w:lvlText w:val=""/>
      <w:lvlJc w:val="left"/>
      <w:pPr>
        <w:tabs>
          <w:tab w:val="num" w:pos="510"/>
        </w:tabs>
        <w:ind w:left="510" w:hanging="283"/>
      </w:pPr>
      <w:rPr>
        <w:rFonts w:ascii="Wingdings 3" w:hAnsi="Wingdings 3" w:hint="default"/>
        <w:color w:val="auto"/>
        <w:sz w:val="18"/>
      </w:rPr>
    </w:lvl>
    <w:lvl w:ilvl="1" w:tplc="08090003" w:tentative="1">
      <w:start w:val="1"/>
      <w:numFmt w:val="bullet"/>
      <w:lvlText w:val="o"/>
      <w:lvlJc w:val="left"/>
      <w:pPr>
        <w:ind w:left="1667" w:hanging="360"/>
      </w:pPr>
      <w:rPr>
        <w:rFonts w:ascii="Courier New" w:hAnsi="Courier New" w:cs="Courier New" w:hint="default"/>
      </w:rPr>
    </w:lvl>
    <w:lvl w:ilvl="2" w:tplc="08090005" w:tentative="1">
      <w:start w:val="1"/>
      <w:numFmt w:val="bullet"/>
      <w:lvlText w:val=""/>
      <w:lvlJc w:val="left"/>
      <w:pPr>
        <w:ind w:left="2387" w:hanging="360"/>
      </w:pPr>
      <w:rPr>
        <w:rFonts w:ascii="Wingdings" w:hAnsi="Wingdings" w:hint="default"/>
      </w:rPr>
    </w:lvl>
    <w:lvl w:ilvl="3" w:tplc="08090001" w:tentative="1">
      <w:start w:val="1"/>
      <w:numFmt w:val="bullet"/>
      <w:lvlText w:val=""/>
      <w:lvlJc w:val="left"/>
      <w:pPr>
        <w:ind w:left="3107" w:hanging="360"/>
      </w:pPr>
      <w:rPr>
        <w:rFonts w:ascii="Symbol" w:hAnsi="Symbol" w:hint="default"/>
      </w:rPr>
    </w:lvl>
    <w:lvl w:ilvl="4" w:tplc="08090003" w:tentative="1">
      <w:start w:val="1"/>
      <w:numFmt w:val="bullet"/>
      <w:lvlText w:val="o"/>
      <w:lvlJc w:val="left"/>
      <w:pPr>
        <w:ind w:left="3827" w:hanging="360"/>
      </w:pPr>
      <w:rPr>
        <w:rFonts w:ascii="Courier New" w:hAnsi="Courier New" w:cs="Courier New" w:hint="default"/>
      </w:rPr>
    </w:lvl>
    <w:lvl w:ilvl="5" w:tplc="08090005" w:tentative="1">
      <w:start w:val="1"/>
      <w:numFmt w:val="bullet"/>
      <w:lvlText w:val=""/>
      <w:lvlJc w:val="left"/>
      <w:pPr>
        <w:ind w:left="4547" w:hanging="360"/>
      </w:pPr>
      <w:rPr>
        <w:rFonts w:ascii="Wingdings" w:hAnsi="Wingdings" w:hint="default"/>
      </w:rPr>
    </w:lvl>
    <w:lvl w:ilvl="6" w:tplc="08090001" w:tentative="1">
      <w:start w:val="1"/>
      <w:numFmt w:val="bullet"/>
      <w:lvlText w:val=""/>
      <w:lvlJc w:val="left"/>
      <w:pPr>
        <w:ind w:left="5267" w:hanging="360"/>
      </w:pPr>
      <w:rPr>
        <w:rFonts w:ascii="Symbol" w:hAnsi="Symbol" w:hint="default"/>
      </w:rPr>
    </w:lvl>
    <w:lvl w:ilvl="7" w:tplc="08090003" w:tentative="1">
      <w:start w:val="1"/>
      <w:numFmt w:val="bullet"/>
      <w:lvlText w:val="o"/>
      <w:lvlJc w:val="left"/>
      <w:pPr>
        <w:ind w:left="5987" w:hanging="360"/>
      </w:pPr>
      <w:rPr>
        <w:rFonts w:ascii="Courier New" w:hAnsi="Courier New" w:cs="Courier New" w:hint="default"/>
      </w:rPr>
    </w:lvl>
    <w:lvl w:ilvl="8" w:tplc="08090005" w:tentative="1">
      <w:start w:val="1"/>
      <w:numFmt w:val="bullet"/>
      <w:lvlText w:val=""/>
      <w:lvlJc w:val="left"/>
      <w:pPr>
        <w:ind w:left="6707" w:hanging="360"/>
      </w:pPr>
      <w:rPr>
        <w:rFonts w:ascii="Wingdings" w:hAnsi="Wingdings" w:hint="default"/>
      </w:rPr>
    </w:lvl>
  </w:abstractNum>
  <w:abstractNum w:abstractNumId="17" w15:restartNumberingAfterBreak="0">
    <w:nsid w:val="542F4B74"/>
    <w:multiLevelType w:val="hybridMultilevel"/>
    <w:tmpl w:val="073E59CA"/>
    <w:lvl w:ilvl="0" w:tplc="037C0914">
      <w:start w:val="1"/>
      <w:numFmt w:val="decimal"/>
      <w:lvlText w:val="%1."/>
      <w:lvlJc w:val="left"/>
      <w:pPr>
        <w:tabs>
          <w:tab w:val="num" w:pos="357"/>
        </w:tabs>
        <w:ind w:left="357" w:hanging="357"/>
      </w:pPr>
      <w:rPr>
        <w:rFonts w:hint="default"/>
        <w:b/>
        <w:bCs/>
        <w:color w:val="930050"/>
      </w:rPr>
    </w:lvl>
    <w:lvl w:ilvl="1" w:tplc="6ED2D3CA">
      <w:start w:val="1"/>
      <w:numFmt w:val="lowerLetter"/>
      <w:lvlText w:val="%2."/>
      <w:lvlJc w:val="left"/>
      <w:pPr>
        <w:tabs>
          <w:tab w:val="num" w:pos="720"/>
        </w:tabs>
        <w:ind w:left="720" w:hanging="363"/>
      </w:pPr>
      <w:rPr>
        <w:rFonts w:hint="default"/>
        <w:b/>
        <w:bCs/>
        <w:color w:val="93005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3479F"/>
    <w:multiLevelType w:val="hybridMultilevel"/>
    <w:tmpl w:val="D70212C6"/>
    <w:lvl w:ilvl="0" w:tplc="868C292E">
      <w:start w:val="1"/>
      <w:numFmt w:val="bullet"/>
      <w:lvlText w:val=""/>
      <w:lvlJc w:val="left"/>
      <w:pPr>
        <w:ind w:left="360" w:hanging="360"/>
      </w:pPr>
      <w:rPr>
        <w:rFonts w:ascii="Symbol" w:hAnsi="Symbol" w:hint="default"/>
      </w:rPr>
    </w:lvl>
    <w:lvl w:ilvl="1" w:tplc="1FA8F7E6">
      <w:start w:val="1"/>
      <w:numFmt w:val="bullet"/>
      <w:lvlText w:val="o"/>
      <w:lvlJc w:val="left"/>
      <w:pPr>
        <w:ind w:left="1080" w:hanging="360"/>
      </w:pPr>
      <w:rPr>
        <w:rFonts w:ascii="Courier New" w:hAnsi="Courier New" w:hint="default"/>
      </w:rPr>
    </w:lvl>
    <w:lvl w:ilvl="2" w:tplc="F7D89C44">
      <w:start w:val="1"/>
      <w:numFmt w:val="bullet"/>
      <w:lvlText w:val=""/>
      <w:lvlJc w:val="left"/>
      <w:pPr>
        <w:ind w:left="1800" w:hanging="360"/>
      </w:pPr>
      <w:rPr>
        <w:rFonts w:ascii="Wingdings" w:hAnsi="Wingdings" w:hint="default"/>
      </w:rPr>
    </w:lvl>
    <w:lvl w:ilvl="3" w:tplc="53AE9B18">
      <w:start w:val="1"/>
      <w:numFmt w:val="bullet"/>
      <w:lvlText w:val=""/>
      <w:lvlJc w:val="left"/>
      <w:pPr>
        <w:ind w:left="2520" w:hanging="360"/>
      </w:pPr>
      <w:rPr>
        <w:rFonts w:ascii="Symbol" w:hAnsi="Symbol" w:hint="default"/>
      </w:rPr>
    </w:lvl>
    <w:lvl w:ilvl="4" w:tplc="69683C9C">
      <w:start w:val="1"/>
      <w:numFmt w:val="bullet"/>
      <w:lvlText w:val="o"/>
      <w:lvlJc w:val="left"/>
      <w:pPr>
        <w:ind w:left="3240" w:hanging="360"/>
      </w:pPr>
      <w:rPr>
        <w:rFonts w:ascii="Courier New" w:hAnsi="Courier New" w:hint="default"/>
      </w:rPr>
    </w:lvl>
    <w:lvl w:ilvl="5" w:tplc="94FE46A2">
      <w:start w:val="1"/>
      <w:numFmt w:val="bullet"/>
      <w:lvlText w:val=""/>
      <w:lvlJc w:val="left"/>
      <w:pPr>
        <w:ind w:left="3960" w:hanging="360"/>
      </w:pPr>
      <w:rPr>
        <w:rFonts w:ascii="Wingdings" w:hAnsi="Wingdings" w:hint="default"/>
      </w:rPr>
    </w:lvl>
    <w:lvl w:ilvl="6" w:tplc="3C3ACAC6">
      <w:start w:val="1"/>
      <w:numFmt w:val="bullet"/>
      <w:lvlText w:val=""/>
      <w:lvlJc w:val="left"/>
      <w:pPr>
        <w:ind w:left="4680" w:hanging="360"/>
      </w:pPr>
      <w:rPr>
        <w:rFonts w:ascii="Symbol" w:hAnsi="Symbol" w:hint="default"/>
      </w:rPr>
    </w:lvl>
    <w:lvl w:ilvl="7" w:tplc="819A69DC">
      <w:start w:val="1"/>
      <w:numFmt w:val="bullet"/>
      <w:lvlText w:val="o"/>
      <w:lvlJc w:val="left"/>
      <w:pPr>
        <w:ind w:left="5400" w:hanging="360"/>
      </w:pPr>
      <w:rPr>
        <w:rFonts w:ascii="Courier New" w:hAnsi="Courier New" w:hint="default"/>
      </w:rPr>
    </w:lvl>
    <w:lvl w:ilvl="8" w:tplc="7C82EACA">
      <w:start w:val="1"/>
      <w:numFmt w:val="bullet"/>
      <w:lvlText w:val=""/>
      <w:lvlJc w:val="left"/>
      <w:pPr>
        <w:ind w:left="6120" w:hanging="360"/>
      </w:pPr>
      <w:rPr>
        <w:rFonts w:ascii="Wingdings" w:hAnsi="Wingdings" w:hint="default"/>
      </w:rPr>
    </w:lvl>
  </w:abstractNum>
  <w:abstractNum w:abstractNumId="19" w15:restartNumberingAfterBreak="0">
    <w:nsid w:val="5DCC1B1A"/>
    <w:multiLevelType w:val="hybridMultilevel"/>
    <w:tmpl w:val="B93238B6"/>
    <w:lvl w:ilvl="0" w:tplc="313AD0E0">
      <w:start w:val="1"/>
      <w:numFmt w:val="bullet"/>
      <w:lvlText w:val=""/>
      <w:lvlJc w:val="left"/>
      <w:pPr>
        <w:ind w:left="360" w:hanging="360"/>
      </w:pPr>
      <w:rPr>
        <w:rFonts w:ascii="Symbol" w:hAnsi="Symbol" w:hint="default"/>
      </w:rPr>
    </w:lvl>
    <w:lvl w:ilvl="1" w:tplc="AD3A3CFC">
      <w:start w:val="1"/>
      <w:numFmt w:val="bullet"/>
      <w:lvlText w:val="o"/>
      <w:lvlJc w:val="left"/>
      <w:pPr>
        <w:ind w:left="1080" w:hanging="360"/>
      </w:pPr>
      <w:rPr>
        <w:rFonts w:ascii="Courier New" w:hAnsi="Courier New" w:hint="default"/>
      </w:rPr>
    </w:lvl>
    <w:lvl w:ilvl="2" w:tplc="1E4A88B8">
      <w:start w:val="1"/>
      <w:numFmt w:val="bullet"/>
      <w:lvlText w:val=""/>
      <w:lvlJc w:val="left"/>
      <w:pPr>
        <w:ind w:left="1800" w:hanging="360"/>
      </w:pPr>
      <w:rPr>
        <w:rFonts w:ascii="Wingdings" w:hAnsi="Wingdings" w:hint="default"/>
      </w:rPr>
    </w:lvl>
    <w:lvl w:ilvl="3" w:tplc="8A6A9C9E">
      <w:start w:val="1"/>
      <w:numFmt w:val="bullet"/>
      <w:lvlText w:val=""/>
      <w:lvlJc w:val="left"/>
      <w:pPr>
        <w:ind w:left="2520" w:hanging="360"/>
      </w:pPr>
      <w:rPr>
        <w:rFonts w:ascii="Symbol" w:hAnsi="Symbol" w:hint="default"/>
      </w:rPr>
    </w:lvl>
    <w:lvl w:ilvl="4" w:tplc="C406B58A">
      <w:start w:val="1"/>
      <w:numFmt w:val="bullet"/>
      <w:lvlText w:val="o"/>
      <w:lvlJc w:val="left"/>
      <w:pPr>
        <w:ind w:left="3240" w:hanging="360"/>
      </w:pPr>
      <w:rPr>
        <w:rFonts w:ascii="Courier New" w:hAnsi="Courier New" w:hint="default"/>
      </w:rPr>
    </w:lvl>
    <w:lvl w:ilvl="5" w:tplc="1F7AE6D4">
      <w:start w:val="1"/>
      <w:numFmt w:val="bullet"/>
      <w:lvlText w:val=""/>
      <w:lvlJc w:val="left"/>
      <w:pPr>
        <w:ind w:left="3960" w:hanging="360"/>
      </w:pPr>
      <w:rPr>
        <w:rFonts w:ascii="Wingdings" w:hAnsi="Wingdings" w:hint="default"/>
      </w:rPr>
    </w:lvl>
    <w:lvl w:ilvl="6" w:tplc="D5A4B6BE">
      <w:start w:val="1"/>
      <w:numFmt w:val="bullet"/>
      <w:lvlText w:val=""/>
      <w:lvlJc w:val="left"/>
      <w:pPr>
        <w:ind w:left="4680" w:hanging="360"/>
      </w:pPr>
      <w:rPr>
        <w:rFonts w:ascii="Symbol" w:hAnsi="Symbol" w:hint="default"/>
      </w:rPr>
    </w:lvl>
    <w:lvl w:ilvl="7" w:tplc="170A4E98">
      <w:start w:val="1"/>
      <w:numFmt w:val="bullet"/>
      <w:lvlText w:val="o"/>
      <w:lvlJc w:val="left"/>
      <w:pPr>
        <w:ind w:left="5400" w:hanging="360"/>
      </w:pPr>
      <w:rPr>
        <w:rFonts w:ascii="Courier New" w:hAnsi="Courier New" w:hint="default"/>
      </w:rPr>
    </w:lvl>
    <w:lvl w:ilvl="8" w:tplc="7FC88FA4">
      <w:start w:val="1"/>
      <w:numFmt w:val="bullet"/>
      <w:lvlText w:val=""/>
      <w:lvlJc w:val="left"/>
      <w:pPr>
        <w:ind w:left="6120" w:hanging="360"/>
      </w:pPr>
      <w:rPr>
        <w:rFonts w:ascii="Wingdings" w:hAnsi="Wingdings" w:hint="default"/>
      </w:rPr>
    </w:lvl>
  </w:abstractNum>
  <w:abstractNum w:abstractNumId="20" w15:restartNumberingAfterBreak="0">
    <w:nsid w:val="5F8361B1"/>
    <w:multiLevelType w:val="hybridMultilevel"/>
    <w:tmpl w:val="2500C50C"/>
    <w:lvl w:ilvl="0" w:tplc="122C7692">
      <w:start w:val="1"/>
      <w:numFmt w:val="bullet"/>
      <w:lvlText w:val=""/>
      <w:lvlJc w:val="left"/>
      <w:pPr>
        <w:ind w:left="360" w:hanging="360"/>
      </w:pPr>
      <w:rPr>
        <w:rFonts w:ascii="Symbol" w:hAnsi="Symbol" w:hint="default"/>
      </w:rPr>
    </w:lvl>
    <w:lvl w:ilvl="1" w:tplc="1C30E238">
      <w:start w:val="1"/>
      <w:numFmt w:val="bullet"/>
      <w:lvlText w:val="o"/>
      <w:lvlJc w:val="left"/>
      <w:pPr>
        <w:ind w:left="1080" w:hanging="360"/>
      </w:pPr>
      <w:rPr>
        <w:rFonts w:ascii="Courier New" w:hAnsi="Courier New" w:hint="default"/>
      </w:rPr>
    </w:lvl>
    <w:lvl w:ilvl="2" w:tplc="2CC25A40">
      <w:start w:val="1"/>
      <w:numFmt w:val="bullet"/>
      <w:lvlText w:val=""/>
      <w:lvlJc w:val="left"/>
      <w:pPr>
        <w:ind w:left="1800" w:hanging="360"/>
      </w:pPr>
      <w:rPr>
        <w:rFonts w:ascii="Wingdings" w:hAnsi="Wingdings" w:hint="default"/>
      </w:rPr>
    </w:lvl>
    <w:lvl w:ilvl="3" w:tplc="BC8CBC42">
      <w:start w:val="1"/>
      <w:numFmt w:val="bullet"/>
      <w:lvlText w:val=""/>
      <w:lvlJc w:val="left"/>
      <w:pPr>
        <w:ind w:left="2520" w:hanging="360"/>
      </w:pPr>
      <w:rPr>
        <w:rFonts w:ascii="Symbol" w:hAnsi="Symbol" w:hint="default"/>
      </w:rPr>
    </w:lvl>
    <w:lvl w:ilvl="4" w:tplc="E04081C4">
      <w:start w:val="1"/>
      <w:numFmt w:val="bullet"/>
      <w:lvlText w:val="o"/>
      <w:lvlJc w:val="left"/>
      <w:pPr>
        <w:ind w:left="3240" w:hanging="360"/>
      </w:pPr>
      <w:rPr>
        <w:rFonts w:ascii="Courier New" w:hAnsi="Courier New" w:hint="default"/>
      </w:rPr>
    </w:lvl>
    <w:lvl w:ilvl="5" w:tplc="E362DE58">
      <w:start w:val="1"/>
      <w:numFmt w:val="bullet"/>
      <w:lvlText w:val=""/>
      <w:lvlJc w:val="left"/>
      <w:pPr>
        <w:ind w:left="3960" w:hanging="360"/>
      </w:pPr>
      <w:rPr>
        <w:rFonts w:ascii="Wingdings" w:hAnsi="Wingdings" w:hint="default"/>
      </w:rPr>
    </w:lvl>
    <w:lvl w:ilvl="6" w:tplc="638C5652">
      <w:start w:val="1"/>
      <w:numFmt w:val="bullet"/>
      <w:lvlText w:val=""/>
      <w:lvlJc w:val="left"/>
      <w:pPr>
        <w:ind w:left="4680" w:hanging="360"/>
      </w:pPr>
      <w:rPr>
        <w:rFonts w:ascii="Symbol" w:hAnsi="Symbol" w:hint="default"/>
      </w:rPr>
    </w:lvl>
    <w:lvl w:ilvl="7" w:tplc="EBF80D74">
      <w:start w:val="1"/>
      <w:numFmt w:val="bullet"/>
      <w:lvlText w:val="o"/>
      <w:lvlJc w:val="left"/>
      <w:pPr>
        <w:ind w:left="5400" w:hanging="360"/>
      </w:pPr>
      <w:rPr>
        <w:rFonts w:ascii="Courier New" w:hAnsi="Courier New" w:hint="default"/>
      </w:rPr>
    </w:lvl>
    <w:lvl w:ilvl="8" w:tplc="559EE886">
      <w:start w:val="1"/>
      <w:numFmt w:val="bullet"/>
      <w:lvlText w:val=""/>
      <w:lvlJc w:val="left"/>
      <w:pPr>
        <w:ind w:left="6120" w:hanging="360"/>
      </w:pPr>
      <w:rPr>
        <w:rFonts w:ascii="Wingdings" w:hAnsi="Wingdings" w:hint="default"/>
      </w:rPr>
    </w:lvl>
  </w:abstractNum>
  <w:abstractNum w:abstractNumId="21" w15:restartNumberingAfterBreak="0">
    <w:nsid w:val="644F6CB3"/>
    <w:multiLevelType w:val="hybridMultilevel"/>
    <w:tmpl w:val="AFEC6BD0"/>
    <w:lvl w:ilvl="0" w:tplc="ABB01FE0">
      <w:start w:val="1"/>
      <w:numFmt w:val="bullet"/>
      <w:lvlText w:val=""/>
      <w:lvlJc w:val="left"/>
      <w:pPr>
        <w:ind w:left="360" w:hanging="360"/>
      </w:pPr>
      <w:rPr>
        <w:rFonts w:ascii="Symbol" w:hAnsi="Symbol" w:hint="default"/>
      </w:rPr>
    </w:lvl>
    <w:lvl w:ilvl="1" w:tplc="2B0E1F98">
      <w:start w:val="1"/>
      <w:numFmt w:val="bullet"/>
      <w:lvlText w:val="o"/>
      <w:lvlJc w:val="left"/>
      <w:pPr>
        <w:ind w:left="1080" w:hanging="360"/>
      </w:pPr>
      <w:rPr>
        <w:rFonts w:ascii="Courier New" w:hAnsi="Courier New" w:hint="default"/>
      </w:rPr>
    </w:lvl>
    <w:lvl w:ilvl="2" w:tplc="64D4A348">
      <w:start w:val="1"/>
      <w:numFmt w:val="bullet"/>
      <w:lvlText w:val=""/>
      <w:lvlJc w:val="left"/>
      <w:pPr>
        <w:ind w:left="1800" w:hanging="360"/>
      </w:pPr>
      <w:rPr>
        <w:rFonts w:ascii="Wingdings" w:hAnsi="Wingdings" w:hint="default"/>
      </w:rPr>
    </w:lvl>
    <w:lvl w:ilvl="3" w:tplc="988E2ACC">
      <w:start w:val="1"/>
      <w:numFmt w:val="bullet"/>
      <w:lvlText w:val=""/>
      <w:lvlJc w:val="left"/>
      <w:pPr>
        <w:ind w:left="2520" w:hanging="360"/>
      </w:pPr>
      <w:rPr>
        <w:rFonts w:ascii="Symbol" w:hAnsi="Symbol" w:hint="default"/>
      </w:rPr>
    </w:lvl>
    <w:lvl w:ilvl="4" w:tplc="21D2CAFC">
      <w:start w:val="1"/>
      <w:numFmt w:val="bullet"/>
      <w:lvlText w:val="o"/>
      <w:lvlJc w:val="left"/>
      <w:pPr>
        <w:ind w:left="3240" w:hanging="360"/>
      </w:pPr>
      <w:rPr>
        <w:rFonts w:ascii="Courier New" w:hAnsi="Courier New" w:hint="default"/>
      </w:rPr>
    </w:lvl>
    <w:lvl w:ilvl="5" w:tplc="D406A4FC">
      <w:start w:val="1"/>
      <w:numFmt w:val="bullet"/>
      <w:lvlText w:val=""/>
      <w:lvlJc w:val="left"/>
      <w:pPr>
        <w:ind w:left="3960" w:hanging="360"/>
      </w:pPr>
      <w:rPr>
        <w:rFonts w:ascii="Wingdings" w:hAnsi="Wingdings" w:hint="default"/>
      </w:rPr>
    </w:lvl>
    <w:lvl w:ilvl="6" w:tplc="D0246D32">
      <w:start w:val="1"/>
      <w:numFmt w:val="bullet"/>
      <w:lvlText w:val=""/>
      <w:lvlJc w:val="left"/>
      <w:pPr>
        <w:ind w:left="4680" w:hanging="360"/>
      </w:pPr>
      <w:rPr>
        <w:rFonts w:ascii="Symbol" w:hAnsi="Symbol" w:hint="default"/>
      </w:rPr>
    </w:lvl>
    <w:lvl w:ilvl="7" w:tplc="B180FA4A">
      <w:start w:val="1"/>
      <w:numFmt w:val="bullet"/>
      <w:lvlText w:val="o"/>
      <w:lvlJc w:val="left"/>
      <w:pPr>
        <w:ind w:left="5400" w:hanging="360"/>
      </w:pPr>
      <w:rPr>
        <w:rFonts w:ascii="Courier New" w:hAnsi="Courier New" w:hint="default"/>
      </w:rPr>
    </w:lvl>
    <w:lvl w:ilvl="8" w:tplc="853A6A38">
      <w:start w:val="1"/>
      <w:numFmt w:val="bullet"/>
      <w:lvlText w:val=""/>
      <w:lvlJc w:val="left"/>
      <w:pPr>
        <w:ind w:left="6120" w:hanging="360"/>
      </w:pPr>
      <w:rPr>
        <w:rFonts w:ascii="Wingdings" w:hAnsi="Wingdings" w:hint="default"/>
      </w:rPr>
    </w:lvl>
  </w:abstractNum>
  <w:abstractNum w:abstractNumId="22" w15:restartNumberingAfterBreak="0">
    <w:nsid w:val="6D440852"/>
    <w:multiLevelType w:val="hybridMultilevel"/>
    <w:tmpl w:val="CD7ED4CC"/>
    <w:lvl w:ilvl="0" w:tplc="5510BE94">
      <w:start w:val="1"/>
      <w:numFmt w:val="bullet"/>
      <w:lvlText w:val=""/>
      <w:lvlJc w:val="left"/>
      <w:pPr>
        <w:ind w:left="720" w:hanging="360"/>
      </w:pPr>
      <w:rPr>
        <w:rFonts w:ascii="Symbol" w:hAnsi="Symbol" w:hint="default"/>
      </w:rPr>
    </w:lvl>
    <w:lvl w:ilvl="1" w:tplc="C038D1B4">
      <w:start w:val="1"/>
      <w:numFmt w:val="bullet"/>
      <w:lvlText w:val="o"/>
      <w:lvlJc w:val="left"/>
      <w:pPr>
        <w:ind w:left="1440" w:hanging="360"/>
      </w:pPr>
      <w:rPr>
        <w:rFonts w:ascii="Courier New" w:hAnsi="Courier New" w:hint="default"/>
      </w:rPr>
    </w:lvl>
    <w:lvl w:ilvl="2" w:tplc="8FDA39E2">
      <w:start w:val="1"/>
      <w:numFmt w:val="bullet"/>
      <w:lvlText w:val=""/>
      <w:lvlJc w:val="left"/>
      <w:pPr>
        <w:ind w:left="2160" w:hanging="360"/>
      </w:pPr>
      <w:rPr>
        <w:rFonts w:ascii="Wingdings" w:hAnsi="Wingdings" w:hint="default"/>
      </w:rPr>
    </w:lvl>
    <w:lvl w:ilvl="3" w:tplc="1846BF4C">
      <w:start w:val="1"/>
      <w:numFmt w:val="bullet"/>
      <w:lvlText w:val=""/>
      <w:lvlJc w:val="left"/>
      <w:pPr>
        <w:ind w:left="2880" w:hanging="360"/>
      </w:pPr>
      <w:rPr>
        <w:rFonts w:ascii="Symbol" w:hAnsi="Symbol" w:hint="default"/>
      </w:rPr>
    </w:lvl>
    <w:lvl w:ilvl="4" w:tplc="6A665944">
      <w:start w:val="1"/>
      <w:numFmt w:val="bullet"/>
      <w:lvlText w:val="o"/>
      <w:lvlJc w:val="left"/>
      <w:pPr>
        <w:ind w:left="3600" w:hanging="360"/>
      </w:pPr>
      <w:rPr>
        <w:rFonts w:ascii="Courier New" w:hAnsi="Courier New" w:hint="default"/>
      </w:rPr>
    </w:lvl>
    <w:lvl w:ilvl="5" w:tplc="015A1B2A">
      <w:start w:val="1"/>
      <w:numFmt w:val="bullet"/>
      <w:lvlText w:val=""/>
      <w:lvlJc w:val="left"/>
      <w:pPr>
        <w:ind w:left="4320" w:hanging="360"/>
      </w:pPr>
      <w:rPr>
        <w:rFonts w:ascii="Wingdings" w:hAnsi="Wingdings" w:hint="default"/>
      </w:rPr>
    </w:lvl>
    <w:lvl w:ilvl="6" w:tplc="7A4E82EE">
      <w:start w:val="1"/>
      <w:numFmt w:val="bullet"/>
      <w:lvlText w:val=""/>
      <w:lvlJc w:val="left"/>
      <w:pPr>
        <w:ind w:left="5040" w:hanging="360"/>
      </w:pPr>
      <w:rPr>
        <w:rFonts w:ascii="Symbol" w:hAnsi="Symbol" w:hint="default"/>
      </w:rPr>
    </w:lvl>
    <w:lvl w:ilvl="7" w:tplc="5CC8BCE8">
      <w:start w:val="1"/>
      <w:numFmt w:val="bullet"/>
      <w:lvlText w:val="o"/>
      <w:lvlJc w:val="left"/>
      <w:pPr>
        <w:ind w:left="5760" w:hanging="360"/>
      </w:pPr>
      <w:rPr>
        <w:rFonts w:ascii="Courier New" w:hAnsi="Courier New" w:hint="default"/>
      </w:rPr>
    </w:lvl>
    <w:lvl w:ilvl="8" w:tplc="B456CEF4">
      <w:start w:val="1"/>
      <w:numFmt w:val="bullet"/>
      <w:lvlText w:val=""/>
      <w:lvlJc w:val="left"/>
      <w:pPr>
        <w:ind w:left="6480" w:hanging="360"/>
      </w:pPr>
      <w:rPr>
        <w:rFonts w:ascii="Wingdings" w:hAnsi="Wingdings" w:hint="default"/>
      </w:rPr>
    </w:lvl>
  </w:abstractNum>
  <w:abstractNum w:abstractNumId="23" w15:restartNumberingAfterBreak="0">
    <w:nsid w:val="6F8E7716"/>
    <w:multiLevelType w:val="hybridMultilevel"/>
    <w:tmpl w:val="9FB218E6"/>
    <w:lvl w:ilvl="0" w:tplc="8C2CE3E0">
      <w:start w:val="1"/>
      <w:numFmt w:val="bullet"/>
      <w:lvlText w:val=""/>
      <w:lvlJc w:val="left"/>
      <w:pPr>
        <w:ind w:left="360" w:hanging="360"/>
      </w:pPr>
      <w:rPr>
        <w:rFonts w:ascii="Symbol" w:hAnsi="Symbol" w:hint="default"/>
      </w:rPr>
    </w:lvl>
    <w:lvl w:ilvl="1" w:tplc="C7186E60">
      <w:start w:val="1"/>
      <w:numFmt w:val="bullet"/>
      <w:lvlText w:val="o"/>
      <w:lvlJc w:val="left"/>
      <w:pPr>
        <w:ind w:left="1080" w:hanging="360"/>
      </w:pPr>
      <w:rPr>
        <w:rFonts w:ascii="Courier New" w:hAnsi="Courier New" w:hint="default"/>
      </w:rPr>
    </w:lvl>
    <w:lvl w:ilvl="2" w:tplc="BD6ED760">
      <w:start w:val="1"/>
      <w:numFmt w:val="bullet"/>
      <w:lvlText w:val=""/>
      <w:lvlJc w:val="left"/>
      <w:pPr>
        <w:ind w:left="1800" w:hanging="360"/>
      </w:pPr>
      <w:rPr>
        <w:rFonts w:ascii="Wingdings" w:hAnsi="Wingdings" w:hint="default"/>
      </w:rPr>
    </w:lvl>
    <w:lvl w:ilvl="3" w:tplc="0DFAA35A">
      <w:start w:val="1"/>
      <w:numFmt w:val="bullet"/>
      <w:lvlText w:val=""/>
      <w:lvlJc w:val="left"/>
      <w:pPr>
        <w:ind w:left="2520" w:hanging="360"/>
      </w:pPr>
      <w:rPr>
        <w:rFonts w:ascii="Symbol" w:hAnsi="Symbol" w:hint="default"/>
      </w:rPr>
    </w:lvl>
    <w:lvl w:ilvl="4" w:tplc="1AE2D37C">
      <w:start w:val="1"/>
      <w:numFmt w:val="bullet"/>
      <w:lvlText w:val="o"/>
      <w:lvlJc w:val="left"/>
      <w:pPr>
        <w:ind w:left="3240" w:hanging="360"/>
      </w:pPr>
      <w:rPr>
        <w:rFonts w:ascii="Courier New" w:hAnsi="Courier New" w:hint="default"/>
      </w:rPr>
    </w:lvl>
    <w:lvl w:ilvl="5" w:tplc="C44ACB58">
      <w:start w:val="1"/>
      <w:numFmt w:val="bullet"/>
      <w:lvlText w:val=""/>
      <w:lvlJc w:val="left"/>
      <w:pPr>
        <w:ind w:left="3960" w:hanging="360"/>
      </w:pPr>
      <w:rPr>
        <w:rFonts w:ascii="Wingdings" w:hAnsi="Wingdings" w:hint="default"/>
      </w:rPr>
    </w:lvl>
    <w:lvl w:ilvl="6" w:tplc="81261302">
      <w:start w:val="1"/>
      <w:numFmt w:val="bullet"/>
      <w:lvlText w:val=""/>
      <w:lvlJc w:val="left"/>
      <w:pPr>
        <w:ind w:left="4680" w:hanging="360"/>
      </w:pPr>
      <w:rPr>
        <w:rFonts w:ascii="Symbol" w:hAnsi="Symbol" w:hint="default"/>
      </w:rPr>
    </w:lvl>
    <w:lvl w:ilvl="7" w:tplc="8884D13E">
      <w:start w:val="1"/>
      <w:numFmt w:val="bullet"/>
      <w:lvlText w:val="o"/>
      <w:lvlJc w:val="left"/>
      <w:pPr>
        <w:ind w:left="5400" w:hanging="360"/>
      </w:pPr>
      <w:rPr>
        <w:rFonts w:ascii="Courier New" w:hAnsi="Courier New" w:hint="default"/>
      </w:rPr>
    </w:lvl>
    <w:lvl w:ilvl="8" w:tplc="D67C03C2">
      <w:start w:val="1"/>
      <w:numFmt w:val="bullet"/>
      <w:lvlText w:val=""/>
      <w:lvlJc w:val="left"/>
      <w:pPr>
        <w:ind w:left="6120" w:hanging="360"/>
      </w:pPr>
      <w:rPr>
        <w:rFonts w:ascii="Wingdings" w:hAnsi="Wingdings" w:hint="default"/>
      </w:rPr>
    </w:lvl>
  </w:abstractNum>
  <w:abstractNum w:abstractNumId="24" w15:restartNumberingAfterBreak="0">
    <w:nsid w:val="747E4CF5"/>
    <w:multiLevelType w:val="hybridMultilevel"/>
    <w:tmpl w:val="3D1255AC"/>
    <w:lvl w:ilvl="0" w:tplc="2AA694C8">
      <w:start w:val="1"/>
      <w:numFmt w:val="bullet"/>
      <w:lvlText w:val=""/>
      <w:lvlJc w:val="left"/>
      <w:pPr>
        <w:ind w:left="720" w:hanging="360"/>
      </w:pPr>
      <w:rPr>
        <w:rFonts w:ascii="Symbol" w:hAnsi="Symbol" w:hint="default"/>
      </w:rPr>
    </w:lvl>
    <w:lvl w:ilvl="1" w:tplc="424CDD1A">
      <w:start w:val="1"/>
      <w:numFmt w:val="bullet"/>
      <w:lvlText w:val="o"/>
      <w:lvlJc w:val="left"/>
      <w:pPr>
        <w:ind w:left="1440" w:hanging="360"/>
      </w:pPr>
      <w:rPr>
        <w:rFonts w:ascii="Courier New" w:hAnsi="Courier New" w:hint="default"/>
      </w:rPr>
    </w:lvl>
    <w:lvl w:ilvl="2" w:tplc="CC6033B8">
      <w:start w:val="1"/>
      <w:numFmt w:val="bullet"/>
      <w:lvlText w:val=""/>
      <w:lvlJc w:val="left"/>
      <w:pPr>
        <w:ind w:left="2160" w:hanging="360"/>
      </w:pPr>
      <w:rPr>
        <w:rFonts w:ascii="Wingdings" w:hAnsi="Wingdings" w:hint="default"/>
      </w:rPr>
    </w:lvl>
    <w:lvl w:ilvl="3" w:tplc="8C1A65D4">
      <w:start w:val="1"/>
      <w:numFmt w:val="bullet"/>
      <w:lvlText w:val=""/>
      <w:lvlJc w:val="left"/>
      <w:pPr>
        <w:ind w:left="2880" w:hanging="360"/>
      </w:pPr>
      <w:rPr>
        <w:rFonts w:ascii="Symbol" w:hAnsi="Symbol" w:hint="default"/>
      </w:rPr>
    </w:lvl>
    <w:lvl w:ilvl="4" w:tplc="D99CC706">
      <w:start w:val="1"/>
      <w:numFmt w:val="bullet"/>
      <w:lvlText w:val="o"/>
      <w:lvlJc w:val="left"/>
      <w:pPr>
        <w:ind w:left="3600" w:hanging="360"/>
      </w:pPr>
      <w:rPr>
        <w:rFonts w:ascii="Courier New" w:hAnsi="Courier New" w:hint="default"/>
      </w:rPr>
    </w:lvl>
    <w:lvl w:ilvl="5" w:tplc="D79E4834">
      <w:start w:val="1"/>
      <w:numFmt w:val="bullet"/>
      <w:lvlText w:val=""/>
      <w:lvlJc w:val="left"/>
      <w:pPr>
        <w:ind w:left="4320" w:hanging="360"/>
      </w:pPr>
      <w:rPr>
        <w:rFonts w:ascii="Wingdings" w:hAnsi="Wingdings" w:hint="default"/>
      </w:rPr>
    </w:lvl>
    <w:lvl w:ilvl="6" w:tplc="6B98120C">
      <w:start w:val="1"/>
      <w:numFmt w:val="bullet"/>
      <w:lvlText w:val=""/>
      <w:lvlJc w:val="left"/>
      <w:pPr>
        <w:ind w:left="5040" w:hanging="360"/>
      </w:pPr>
      <w:rPr>
        <w:rFonts w:ascii="Symbol" w:hAnsi="Symbol" w:hint="default"/>
      </w:rPr>
    </w:lvl>
    <w:lvl w:ilvl="7" w:tplc="C9602038">
      <w:start w:val="1"/>
      <w:numFmt w:val="bullet"/>
      <w:lvlText w:val="o"/>
      <w:lvlJc w:val="left"/>
      <w:pPr>
        <w:ind w:left="5760" w:hanging="360"/>
      </w:pPr>
      <w:rPr>
        <w:rFonts w:ascii="Courier New" w:hAnsi="Courier New" w:hint="default"/>
      </w:rPr>
    </w:lvl>
    <w:lvl w:ilvl="8" w:tplc="551A3B78">
      <w:start w:val="1"/>
      <w:numFmt w:val="bullet"/>
      <w:lvlText w:val=""/>
      <w:lvlJc w:val="left"/>
      <w:pPr>
        <w:ind w:left="6480" w:hanging="360"/>
      </w:pPr>
      <w:rPr>
        <w:rFonts w:ascii="Wingdings" w:hAnsi="Wingdings" w:hint="default"/>
      </w:rPr>
    </w:lvl>
  </w:abstractNum>
  <w:abstractNum w:abstractNumId="25" w15:restartNumberingAfterBreak="0">
    <w:nsid w:val="76503299"/>
    <w:multiLevelType w:val="multilevel"/>
    <w:tmpl w:val="2DBE44E8"/>
    <w:lvl w:ilvl="0">
      <w:start w:val="1"/>
      <w:numFmt w:val="bullet"/>
      <w:lvlText w:val=""/>
      <w:lvlJc w:val="left"/>
      <w:pPr>
        <w:ind w:left="360" w:hanging="360"/>
      </w:pPr>
      <w:rPr>
        <w:rFonts w:ascii="Symbol" w:hAnsi="Symbol" w:hint="default"/>
        <w:color w:val="4472C4" w:themeColor="accent1"/>
      </w:rPr>
    </w:lvl>
    <w:lvl w:ilvl="1">
      <w:start w:val="1"/>
      <w:numFmt w:val="bullet"/>
      <w:lvlText w:val="o"/>
      <w:lvlJc w:val="left"/>
      <w:pPr>
        <w:ind w:left="1080" w:hanging="360"/>
      </w:pPr>
      <w:rPr>
        <w:rFonts w:ascii="Courier New" w:hAnsi="Courier New" w:hint="default"/>
        <w:color w:val="006390"/>
      </w:rPr>
    </w:lvl>
    <w:lvl w:ilvl="2">
      <w:start w:val="1"/>
      <w:numFmt w:val="bullet"/>
      <w:lvlText w:val=""/>
      <w:lvlJc w:val="left"/>
      <w:pPr>
        <w:ind w:left="1800" w:hanging="360"/>
      </w:pPr>
      <w:rPr>
        <w:rFonts w:ascii="Wingdings" w:hAnsi="Wingdings" w:hint="default"/>
        <w:color w:val="006390"/>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77CB753B"/>
    <w:multiLevelType w:val="hybridMultilevel"/>
    <w:tmpl w:val="52423246"/>
    <w:lvl w:ilvl="0" w:tplc="F1807236">
      <w:start w:val="1"/>
      <w:numFmt w:val="bullet"/>
      <w:lvlText w:val=""/>
      <w:lvlJc w:val="left"/>
      <w:pPr>
        <w:ind w:left="360" w:hanging="360"/>
      </w:pPr>
      <w:rPr>
        <w:rFonts w:ascii="Symbol" w:hAnsi="Symbol" w:hint="default"/>
      </w:rPr>
    </w:lvl>
    <w:lvl w:ilvl="1" w:tplc="ED768988">
      <w:start w:val="1"/>
      <w:numFmt w:val="bullet"/>
      <w:lvlText w:val="o"/>
      <w:lvlJc w:val="left"/>
      <w:pPr>
        <w:ind w:left="1080" w:hanging="360"/>
      </w:pPr>
      <w:rPr>
        <w:rFonts w:ascii="Courier New" w:hAnsi="Courier New" w:hint="default"/>
      </w:rPr>
    </w:lvl>
    <w:lvl w:ilvl="2" w:tplc="8AA699CC">
      <w:start w:val="1"/>
      <w:numFmt w:val="bullet"/>
      <w:lvlText w:val=""/>
      <w:lvlJc w:val="left"/>
      <w:pPr>
        <w:ind w:left="1800" w:hanging="360"/>
      </w:pPr>
      <w:rPr>
        <w:rFonts w:ascii="Wingdings" w:hAnsi="Wingdings" w:hint="default"/>
      </w:rPr>
    </w:lvl>
    <w:lvl w:ilvl="3" w:tplc="926CAB6A">
      <w:start w:val="1"/>
      <w:numFmt w:val="bullet"/>
      <w:lvlText w:val=""/>
      <w:lvlJc w:val="left"/>
      <w:pPr>
        <w:ind w:left="2520" w:hanging="360"/>
      </w:pPr>
      <w:rPr>
        <w:rFonts w:ascii="Symbol" w:hAnsi="Symbol" w:hint="default"/>
      </w:rPr>
    </w:lvl>
    <w:lvl w:ilvl="4" w:tplc="980ECD52">
      <w:start w:val="1"/>
      <w:numFmt w:val="bullet"/>
      <w:lvlText w:val="o"/>
      <w:lvlJc w:val="left"/>
      <w:pPr>
        <w:ind w:left="3240" w:hanging="360"/>
      </w:pPr>
      <w:rPr>
        <w:rFonts w:ascii="Courier New" w:hAnsi="Courier New" w:hint="default"/>
      </w:rPr>
    </w:lvl>
    <w:lvl w:ilvl="5" w:tplc="4F0A9226">
      <w:start w:val="1"/>
      <w:numFmt w:val="bullet"/>
      <w:lvlText w:val=""/>
      <w:lvlJc w:val="left"/>
      <w:pPr>
        <w:ind w:left="3960" w:hanging="360"/>
      </w:pPr>
      <w:rPr>
        <w:rFonts w:ascii="Wingdings" w:hAnsi="Wingdings" w:hint="default"/>
      </w:rPr>
    </w:lvl>
    <w:lvl w:ilvl="6" w:tplc="5BD68528">
      <w:start w:val="1"/>
      <w:numFmt w:val="bullet"/>
      <w:lvlText w:val=""/>
      <w:lvlJc w:val="left"/>
      <w:pPr>
        <w:ind w:left="4680" w:hanging="360"/>
      </w:pPr>
      <w:rPr>
        <w:rFonts w:ascii="Symbol" w:hAnsi="Symbol" w:hint="default"/>
      </w:rPr>
    </w:lvl>
    <w:lvl w:ilvl="7" w:tplc="C30AE56E">
      <w:start w:val="1"/>
      <w:numFmt w:val="bullet"/>
      <w:lvlText w:val="o"/>
      <w:lvlJc w:val="left"/>
      <w:pPr>
        <w:ind w:left="5400" w:hanging="360"/>
      </w:pPr>
      <w:rPr>
        <w:rFonts w:ascii="Courier New" w:hAnsi="Courier New" w:hint="default"/>
      </w:rPr>
    </w:lvl>
    <w:lvl w:ilvl="8" w:tplc="332EEB82">
      <w:start w:val="1"/>
      <w:numFmt w:val="bullet"/>
      <w:lvlText w:val=""/>
      <w:lvlJc w:val="left"/>
      <w:pPr>
        <w:ind w:left="6120" w:hanging="360"/>
      </w:pPr>
      <w:rPr>
        <w:rFonts w:ascii="Wingdings" w:hAnsi="Wingdings" w:hint="default"/>
      </w:rPr>
    </w:lvl>
  </w:abstractNum>
  <w:abstractNum w:abstractNumId="27" w15:restartNumberingAfterBreak="0">
    <w:nsid w:val="7A973AD2"/>
    <w:multiLevelType w:val="hybridMultilevel"/>
    <w:tmpl w:val="B8482722"/>
    <w:lvl w:ilvl="0" w:tplc="94506912">
      <w:start w:val="1"/>
      <w:numFmt w:val="bullet"/>
      <w:lvlText w:val=""/>
      <w:lvlJc w:val="left"/>
      <w:pPr>
        <w:ind w:left="720" w:hanging="360"/>
      </w:pPr>
      <w:rPr>
        <w:rFonts w:ascii="Symbol" w:hAnsi="Symbol" w:hint="default"/>
      </w:rPr>
    </w:lvl>
    <w:lvl w:ilvl="1" w:tplc="738E9F7A">
      <w:start w:val="1"/>
      <w:numFmt w:val="bullet"/>
      <w:lvlText w:val="o"/>
      <w:lvlJc w:val="left"/>
      <w:pPr>
        <w:ind w:left="1440" w:hanging="360"/>
      </w:pPr>
      <w:rPr>
        <w:rFonts w:ascii="Courier New" w:hAnsi="Courier New" w:hint="default"/>
      </w:rPr>
    </w:lvl>
    <w:lvl w:ilvl="2" w:tplc="8B3022E8">
      <w:start w:val="1"/>
      <w:numFmt w:val="bullet"/>
      <w:lvlText w:val=""/>
      <w:lvlJc w:val="left"/>
      <w:pPr>
        <w:ind w:left="2160" w:hanging="360"/>
      </w:pPr>
      <w:rPr>
        <w:rFonts w:ascii="Wingdings" w:hAnsi="Wingdings" w:hint="default"/>
      </w:rPr>
    </w:lvl>
    <w:lvl w:ilvl="3" w:tplc="606EDB04">
      <w:start w:val="1"/>
      <w:numFmt w:val="bullet"/>
      <w:lvlText w:val=""/>
      <w:lvlJc w:val="left"/>
      <w:pPr>
        <w:ind w:left="2880" w:hanging="360"/>
      </w:pPr>
      <w:rPr>
        <w:rFonts w:ascii="Symbol" w:hAnsi="Symbol" w:hint="default"/>
      </w:rPr>
    </w:lvl>
    <w:lvl w:ilvl="4" w:tplc="AA445DC4">
      <w:start w:val="1"/>
      <w:numFmt w:val="bullet"/>
      <w:lvlText w:val="o"/>
      <w:lvlJc w:val="left"/>
      <w:pPr>
        <w:ind w:left="3600" w:hanging="360"/>
      </w:pPr>
      <w:rPr>
        <w:rFonts w:ascii="Courier New" w:hAnsi="Courier New" w:hint="default"/>
      </w:rPr>
    </w:lvl>
    <w:lvl w:ilvl="5" w:tplc="AEF0B20C">
      <w:start w:val="1"/>
      <w:numFmt w:val="bullet"/>
      <w:lvlText w:val=""/>
      <w:lvlJc w:val="left"/>
      <w:pPr>
        <w:ind w:left="4320" w:hanging="360"/>
      </w:pPr>
      <w:rPr>
        <w:rFonts w:ascii="Wingdings" w:hAnsi="Wingdings" w:hint="default"/>
      </w:rPr>
    </w:lvl>
    <w:lvl w:ilvl="6" w:tplc="09F08590">
      <w:start w:val="1"/>
      <w:numFmt w:val="bullet"/>
      <w:lvlText w:val=""/>
      <w:lvlJc w:val="left"/>
      <w:pPr>
        <w:ind w:left="5040" w:hanging="360"/>
      </w:pPr>
      <w:rPr>
        <w:rFonts w:ascii="Symbol" w:hAnsi="Symbol" w:hint="default"/>
      </w:rPr>
    </w:lvl>
    <w:lvl w:ilvl="7" w:tplc="568215EC">
      <w:start w:val="1"/>
      <w:numFmt w:val="bullet"/>
      <w:lvlText w:val="o"/>
      <w:lvlJc w:val="left"/>
      <w:pPr>
        <w:ind w:left="5760" w:hanging="360"/>
      </w:pPr>
      <w:rPr>
        <w:rFonts w:ascii="Courier New" w:hAnsi="Courier New" w:hint="default"/>
      </w:rPr>
    </w:lvl>
    <w:lvl w:ilvl="8" w:tplc="437EB154">
      <w:start w:val="1"/>
      <w:numFmt w:val="bullet"/>
      <w:lvlText w:val=""/>
      <w:lvlJc w:val="left"/>
      <w:pPr>
        <w:ind w:left="6480" w:hanging="360"/>
      </w:pPr>
      <w:rPr>
        <w:rFonts w:ascii="Wingdings" w:hAnsi="Wingdings" w:hint="default"/>
      </w:rPr>
    </w:lvl>
  </w:abstractNum>
  <w:abstractNum w:abstractNumId="28" w15:restartNumberingAfterBreak="0">
    <w:nsid w:val="7D32323A"/>
    <w:multiLevelType w:val="hybridMultilevel"/>
    <w:tmpl w:val="97284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5"/>
  </w:num>
  <w:num w:numId="5">
    <w:abstractNumId w:val="28"/>
  </w:num>
  <w:num w:numId="6">
    <w:abstractNumId w:val="12"/>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6"/>
  </w:num>
  <w:num w:numId="12">
    <w:abstractNumId w:val="16"/>
    <w:lvlOverride w:ilvl="0">
      <w:startOverride w:val="1"/>
    </w:lvlOverride>
  </w:num>
  <w:num w:numId="13">
    <w:abstractNumId w:val="19"/>
  </w:num>
  <w:num w:numId="14">
    <w:abstractNumId w:val="1"/>
  </w:num>
  <w:num w:numId="15">
    <w:abstractNumId w:val="6"/>
  </w:num>
  <w:num w:numId="16">
    <w:abstractNumId w:val="0"/>
  </w:num>
  <w:num w:numId="17">
    <w:abstractNumId w:val="18"/>
  </w:num>
  <w:num w:numId="18">
    <w:abstractNumId w:val="26"/>
  </w:num>
  <w:num w:numId="19">
    <w:abstractNumId w:val="9"/>
  </w:num>
  <w:num w:numId="20">
    <w:abstractNumId w:val="14"/>
  </w:num>
  <w:num w:numId="21">
    <w:abstractNumId w:val="20"/>
  </w:num>
  <w:num w:numId="22">
    <w:abstractNumId w:val="23"/>
  </w:num>
  <w:num w:numId="23">
    <w:abstractNumId w:val="7"/>
  </w:num>
  <w:num w:numId="24">
    <w:abstractNumId w:val="21"/>
  </w:num>
  <w:num w:numId="25">
    <w:abstractNumId w:val="5"/>
  </w:num>
  <w:num w:numId="26">
    <w:abstractNumId w:val="8"/>
  </w:num>
  <w:num w:numId="27">
    <w:abstractNumId w:val="3"/>
  </w:num>
  <w:num w:numId="28">
    <w:abstractNumId w:val="11"/>
  </w:num>
  <w:num w:numId="29">
    <w:abstractNumId w:val="10"/>
  </w:num>
  <w:num w:numId="30">
    <w:abstractNumId w:val="13"/>
  </w:num>
  <w:num w:numId="31">
    <w:abstractNumId w:val="22"/>
  </w:num>
  <w:num w:numId="32">
    <w:abstractNumId w:val="24"/>
  </w:num>
  <w:num w:numId="33">
    <w:abstractNumId w:val="27"/>
  </w:num>
  <w:num w:numId="34">
    <w:abstractNumId w:val="4"/>
  </w:num>
  <w:num w:numId="35">
    <w:abstractNumId w:val="12"/>
    <w:lvlOverride w:ilvl="0">
      <w:startOverride w:val="1"/>
    </w:lvlOverride>
  </w:num>
  <w:num w:numId="36">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defaultTabStop w:val="720"/>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204"/>
    <w:rsid w:val="00002204"/>
    <w:rsid w:val="00012C6B"/>
    <w:rsid w:val="0002199D"/>
    <w:rsid w:val="00032E27"/>
    <w:rsid w:val="00042C09"/>
    <w:rsid w:val="000C5AFC"/>
    <w:rsid w:val="000F1399"/>
    <w:rsid w:val="0016255C"/>
    <w:rsid w:val="00184A09"/>
    <w:rsid w:val="00203D53"/>
    <w:rsid w:val="00265AA4"/>
    <w:rsid w:val="002960CA"/>
    <w:rsid w:val="002D12E1"/>
    <w:rsid w:val="00376A89"/>
    <w:rsid w:val="003B5B9C"/>
    <w:rsid w:val="00416931"/>
    <w:rsid w:val="004978E8"/>
    <w:rsid w:val="004C1AAD"/>
    <w:rsid w:val="004D5226"/>
    <w:rsid w:val="004F23F4"/>
    <w:rsid w:val="005005C2"/>
    <w:rsid w:val="00523691"/>
    <w:rsid w:val="005512BC"/>
    <w:rsid w:val="005569E0"/>
    <w:rsid w:val="005878BF"/>
    <w:rsid w:val="005B5358"/>
    <w:rsid w:val="00624038"/>
    <w:rsid w:val="00657E78"/>
    <w:rsid w:val="00681EE4"/>
    <w:rsid w:val="00712C65"/>
    <w:rsid w:val="007646CB"/>
    <w:rsid w:val="00766D15"/>
    <w:rsid w:val="00791466"/>
    <w:rsid w:val="007C5E46"/>
    <w:rsid w:val="007F2C31"/>
    <w:rsid w:val="00801CCB"/>
    <w:rsid w:val="008104FF"/>
    <w:rsid w:val="008544EF"/>
    <w:rsid w:val="00854B34"/>
    <w:rsid w:val="00961DE4"/>
    <w:rsid w:val="009636AD"/>
    <w:rsid w:val="0097344D"/>
    <w:rsid w:val="00A05186"/>
    <w:rsid w:val="00A9512C"/>
    <w:rsid w:val="00B27E7E"/>
    <w:rsid w:val="00B3270C"/>
    <w:rsid w:val="00B733D8"/>
    <w:rsid w:val="00C00D38"/>
    <w:rsid w:val="00D840ED"/>
    <w:rsid w:val="00DE4C03"/>
    <w:rsid w:val="00E70954"/>
    <w:rsid w:val="00E93CB4"/>
    <w:rsid w:val="00F23C16"/>
    <w:rsid w:val="00F33FBB"/>
    <w:rsid w:val="00F43618"/>
    <w:rsid w:val="00F5028B"/>
    <w:rsid w:val="00F817ED"/>
    <w:rsid w:val="00FE28E8"/>
    <w:rsid w:val="00FF5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09435871"/>
  <w15:chartTrackingRefBased/>
  <w15:docId w15:val="{C2FC3FC9-8141-486D-AADB-058A63D3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9E0"/>
    <w:pPr>
      <w:spacing w:after="120" w:line="264" w:lineRule="auto"/>
      <w:jc w:val="both"/>
    </w:pPr>
  </w:style>
  <w:style w:type="paragraph" w:styleId="Heading1">
    <w:name w:val="heading 1"/>
    <w:basedOn w:val="Normal"/>
    <w:next w:val="Normal"/>
    <w:link w:val="Heading1Char"/>
    <w:uiPriority w:val="9"/>
    <w:qFormat/>
    <w:rsid w:val="00B27E7E"/>
    <w:pPr>
      <w:keepNext/>
      <w:keepLines/>
      <w:spacing w:before="360" w:after="240" w:line="240" w:lineRule="auto"/>
      <w:jc w:val="left"/>
      <w:outlineLvl w:val="0"/>
    </w:pPr>
    <w:rPr>
      <w:rFonts w:asciiTheme="majorHAnsi" w:eastAsiaTheme="majorEastAsia" w:hAnsiTheme="majorHAnsi" w:cstheme="majorBidi"/>
      <w:color w:val="70AD47" w:themeColor="accent6"/>
      <w:sz w:val="40"/>
      <w:szCs w:val="32"/>
    </w:rPr>
  </w:style>
  <w:style w:type="paragraph" w:styleId="Heading2">
    <w:name w:val="heading 2"/>
    <w:basedOn w:val="Normal"/>
    <w:next w:val="Normal"/>
    <w:link w:val="Heading2Char"/>
    <w:uiPriority w:val="9"/>
    <w:unhideWhenUsed/>
    <w:qFormat/>
    <w:rsid w:val="00B27E7E"/>
    <w:pPr>
      <w:keepNext/>
      <w:keepLines/>
      <w:spacing w:before="180" w:after="60" w:line="240" w:lineRule="auto"/>
      <w:outlineLvl w:val="1"/>
    </w:pPr>
    <w:rPr>
      <w:rFonts w:asciiTheme="majorHAnsi" w:eastAsiaTheme="majorEastAsia" w:hAnsiTheme="majorHAnsi" w:cstheme="majorBidi"/>
      <w:b/>
      <w:color w:val="70AD47" w:themeColor="accent6"/>
      <w:sz w:val="26"/>
      <w:szCs w:val="26"/>
    </w:rPr>
  </w:style>
  <w:style w:type="paragraph" w:styleId="Heading3">
    <w:name w:val="heading 3"/>
    <w:basedOn w:val="Normal"/>
    <w:next w:val="Normal"/>
    <w:link w:val="Heading3Char"/>
    <w:uiPriority w:val="9"/>
    <w:unhideWhenUsed/>
    <w:qFormat/>
    <w:rsid w:val="005878BF"/>
    <w:pPr>
      <w:keepNext/>
      <w:keepLines/>
      <w:spacing w:before="120" w:after="0"/>
      <w:outlineLvl w:val="2"/>
    </w:pPr>
    <w:rPr>
      <w:rFonts w:eastAsiaTheme="majorEastAsia" w:cstheme="majorBidi"/>
      <w:b/>
      <w:color w:val="0D0D0D" w:themeColor="text1" w:themeTint="F2"/>
      <w:szCs w:val="24"/>
    </w:rPr>
  </w:style>
  <w:style w:type="paragraph" w:styleId="Heading4">
    <w:name w:val="heading 4"/>
    <w:basedOn w:val="Normal"/>
    <w:next w:val="Normal"/>
    <w:link w:val="Heading4Char"/>
    <w:uiPriority w:val="9"/>
    <w:semiHidden/>
    <w:qFormat/>
    <w:rsid w:val="005512BC"/>
    <w:pPr>
      <w:keepNext/>
      <w:keepLines/>
      <w:spacing w:before="40" w:after="0" w:line="259" w:lineRule="auto"/>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qFormat/>
    <w:rsid w:val="00624038"/>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cienceEuropeTable">
    <w:name w:val="Science Europe Table"/>
    <w:basedOn w:val="PlainTable1"/>
    <w:uiPriority w:val="99"/>
    <w:rsid w:val="005005C2"/>
    <w:rPr>
      <w:sz w:val="18"/>
      <w:szCs w:val="20"/>
      <w:lang w:val="en-US" w:eastAsia="en-GB"/>
    </w:rPr>
    <w:tblPr>
      <w:tblBorders>
        <w:top w:val="none" w:sz="0" w:space="0" w:color="auto"/>
        <w:left w:val="none" w:sz="0" w:space="0" w:color="auto"/>
        <w:bottom w:val="single" w:sz="4" w:space="0" w:color="000000" w:themeColor="text1"/>
        <w:right w:val="none" w:sz="0" w:space="0" w:color="auto"/>
        <w:insideH w:val="single" w:sz="4" w:space="0" w:color="000000" w:themeColor="text1"/>
        <w:insideV w:val="none" w:sz="0" w:space="0" w:color="auto"/>
      </w:tblBorders>
    </w:tblPr>
    <w:tcPr>
      <w:shd w:val="clear" w:color="auto" w:fill="auto"/>
    </w:tcPr>
    <w:tblStylePr w:type="firstRow">
      <w:rPr>
        <w:b/>
        <w:bCs/>
      </w:rPr>
    </w:tblStylePr>
    <w:tblStylePr w:type="lastRow">
      <w:rPr>
        <w:b/>
        <w:bCs/>
      </w:rPr>
      <w:tblPr/>
      <w:tcPr>
        <w:tcBorders>
          <w:top w:val="double" w:sz="4" w:space="0" w:color="BFBFBF" w:themeColor="background1" w:themeShade="BF"/>
        </w:tcBorders>
      </w:tcPr>
    </w:tblStylePr>
    <w:tblStylePr w:type="firstCol">
      <w:rPr>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5005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022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204"/>
  </w:style>
  <w:style w:type="paragraph" w:styleId="Footer">
    <w:name w:val="footer"/>
    <w:basedOn w:val="Normal"/>
    <w:link w:val="FooterChar"/>
    <w:uiPriority w:val="99"/>
    <w:unhideWhenUsed/>
    <w:rsid w:val="00002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204"/>
  </w:style>
  <w:style w:type="paragraph" w:styleId="Title">
    <w:name w:val="Title"/>
    <w:basedOn w:val="Normal"/>
    <w:next w:val="Normal"/>
    <w:link w:val="TitleChar"/>
    <w:uiPriority w:val="10"/>
    <w:qFormat/>
    <w:rsid w:val="00FE28E8"/>
    <w:pPr>
      <w:spacing w:after="0" w:line="240" w:lineRule="auto"/>
      <w:contextualSpacing/>
      <w:jc w:val="left"/>
    </w:pPr>
    <w:rPr>
      <w:rFonts w:asciiTheme="majorHAnsi" w:eastAsiaTheme="majorEastAsia" w:hAnsiTheme="majorHAnsi" w:cstheme="majorBidi"/>
      <w:spacing w:val="-10"/>
      <w:kern w:val="28"/>
      <w:sz w:val="72"/>
      <w:szCs w:val="56"/>
    </w:rPr>
  </w:style>
  <w:style w:type="character" w:customStyle="1" w:styleId="TitleChar">
    <w:name w:val="Title Char"/>
    <w:basedOn w:val="DefaultParagraphFont"/>
    <w:link w:val="Title"/>
    <w:uiPriority w:val="10"/>
    <w:rsid w:val="00FE28E8"/>
    <w:rPr>
      <w:rFonts w:asciiTheme="majorHAnsi" w:eastAsiaTheme="majorEastAsia" w:hAnsiTheme="majorHAnsi" w:cstheme="majorBidi"/>
      <w:spacing w:val="-10"/>
      <w:kern w:val="28"/>
      <w:sz w:val="72"/>
      <w:szCs w:val="56"/>
    </w:rPr>
  </w:style>
  <w:style w:type="paragraph" w:styleId="Subtitle">
    <w:name w:val="Subtitle"/>
    <w:basedOn w:val="Normal"/>
    <w:next w:val="Normal"/>
    <w:link w:val="SubtitleChar"/>
    <w:uiPriority w:val="11"/>
    <w:qFormat/>
    <w:rsid w:val="00D840ED"/>
    <w:pPr>
      <w:numPr>
        <w:ilvl w:val="1"/>
      </w:numPr>
      <w:spacing w:after="0" w:line="240" w:lineRule="auto"/>
      <w:jc w:val="right"/>
    </w:pPr>
    <w:rPr>
      <w:rFonts w:eastAsiaTheme="minorEastAsia"/>
      <w:b/>
      <w:color w:val="FFFFFF" w:themeColor="background1"/>
      <w:sz w:val="48"/>
    </w:rPr>
  </w:style>
  <w:style w:type="character" w:customStyle="1" w:styleId="SubtitleChar">
    <w:name w:val="Subtitle Char"/>
    <w:basedOn w:val="DefaultParagraphFont"/>
    <w:link w:val="Subtitle"/>
    <w:uiPriority w:val="11"/>
    <w:rsid w:val="00D840ED"/>
    <w:rPr>
      <w:rFonts w:eastAsiaTheme="minorEastAsia"/>
      <w:b/>
      <w:color w:val="FFFFFF" w:themeColor="background1"/>
      <w:sz w:val="48"/>
    </w:rPr>
  </w:style>
  <w:style w:type="paragraph" w:customStyle="1" w:styleId="FooterBody">
    <w:name w:val="Footer Body"/>
    <w:basedOn w:val="Normal"/>
    <w:uiPriority w:val="99"/>
    <w:rsid w:val="00D840ED"/>
    <w:pPr>
      <w:tabs>
        <w:tab w:val="left" w:pos="2446"/>
      </w:tabs>
      <w:spacing w:before="100" w:beforeAutospacing="1" w:line="220" w:lineRule="atLeast"/>
      <w:contextualSpacing/>
    </w:pPr>
    <w:rPr>
      <w:rFonts w:eastAsia="HelveticaNeueLTStd-BdCn" w:cs="HelveticaNeueLTStd-BdCn"/>
      <w:color w:val="3E4549"/>
      <w:sz w:val="16"/>
      <w:szCs w:val="16"/>
      <w14:ligatures w14:val="standard"/>
    </w:rPr>
  </w:style>
  <w:style w:type="character" w:customStyle="1" w:styleId="Heading1Char">
    <w:name w:val="Heading 1 Char"/>
    <w:basedOn w:val="DefaultParagraphFont"/>
    <w:link w:val="Heading1"/>
    <w:uiPriority w:val="9"/>
    <w:rsid w:val="00B27E7E"/>
    <w:rPr>
      <w:rFonts w:asciiTheme="majorHAnsi" w:eastAsiaTheme="majorEastAsia" w:hAnsiTheme="majorHAnsi" w:cstheme="majorBidi"/>
      <w:color w:val="70AD47" w:themeColor="accent6"/>
      <w:sz w:val="40"/>
      <w:szCs w:val="32"/>
    </w:rPr>
  </w:style>
  <w:style w:type="paragraph" w:styleId="ListParagraph">
    <w:name w:val="List Paragraph"/>
    <w:basedOn w:val="Normal"/>
    <w:uiPriority w:val="34"/>
    <w:rsid w:val="00FE28E8"/>
    <w:pPr>
      <w:spacing w:before="60" w:after="60"/>
      <w:ind w:left="720"/>
    </w:pPr>
  </w:style>
  <w:style w:type="paragraph" w:styleId="NoSpacing">
    <w:name w:val="No Spacing"/>
    <w:uiPriority w:val="1"/>
    <w:qFormat/>
    <w:rsid w:val="000C5AFC"/>
    <w:pPr>
      <w:spacing w:after="0" w:line="240" w:lineRule="auto"/>
      <w:jc w:val="both"/>
    </w:pPr>
  </w:style>
  <w:style w:type="character" w:customStyle="1" w:styleId="Heading2Char">
    <w:name w:val="Heading 2 Char"/>
    <w:basedOn w:val="DefaultParagraphFont"/>
    <w:link w:val="Heading2"/>
    <w:uiPriority w:val="9"/>
    <w:rsid w:val="00B27E7E"/>
    <w:rPr>
      <w:rFonts w:asciiTheme="majorHAnsi" w:eastAsiaTheme="majorEastAsia" w:hAnsiTheme="majorHAnsi" w:cstheme="majorBidi"/>
      <w:b/>
      <w:color w:val="70AD47" w:themeColor="accent6"/>
      <w:sz w:val="26"/>
      <w:szCs w:val="26"/>
    </w:rPr>
  </w:style>
  <w:style w:type="table" w:styleId="TableGrid">
    <w:name w:val="Table Grid"/>
    <w:basedOn w:val="TableNormal"/>
    <w:uiPriority w:val="39"/>
    <w:rsid w:val="004F23F4"/>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Item-Bullet">
    <w:name w:val="List Item - Bullet"/>
    <w:basedOn w:val="ListParagraph"/>
    <w:uiPriority w:val="2"/>
    <w:qFormat/>
    <w:rsid w:val="00624038"/>
    <w:pPr>
      <w:numPr>
        <w:numId w:val="6"/>
      </w:numPr>
      <w:contextualSpacing/>
      <w:jc w:val="left"/>
    </w:pPr>
    <w:rPr>
      <w:szCs w:val="20"/>
      <w14:ligatures w14:val="standard"/>
    </w:rPr>
  </w:style>
  <w:style w:type="paragraph" w:customStyle="1" w:styleId="TableHeader">
    <w:name w:val="Table Header"/>
    <w:basedOn w:val="Normal"/>
    <w:uiPriority w:val="4"/>
    <w:qFormat/>
    <w:rsid w:val="005878BF"/>
    <w:pPr>
      <w:widowControl w:val="0"/>
      <w:spacing w:after="0" w:line="240" w:lineRule="auto"/>
      <w:jc w:val="center"/>
    </w:pPr>
    <w:rPr>
      <w:rFonts w:cstheme="minorHAnsi"/>
      <w:b/>
      <w:color w:val="FFFFFF" w:themeColor="background1"/>
      <w:szCs w:val="20"/>
    </w:rPr>
  </w:style>
  <w:style w:type="character" w:customStyle="1" w:styleId="Heading4Char">
    <w:name w:val="Heading 4 Char"/>
    <w:basedOn w:val="DefaultParagraphFont"/>
    <w:link w:val="Heading4"/>
    <w:uiPriority w:val="9"/>
    <w:semiHidden/>
    <w:rsid w:val="005569E0"/>
    <w:rPr>
      <w:rFonts w:asciiTheme="majorHAnsi" w:eastAsiaTheme="majorEastAsia" w:hAnsiTheme="majorHAnsi" w:cstheme="majorBidi"/>
      <w:i/>
      <w:iCs/>
      <w:color w:val="2F5496" w:themeColor="accent1" w:themeShade="BF"/>
    </w:rPr>
  </w:style>
  <w:style w:type="paragraph" w:styleId="CommentText">
    <w:name w:val="annotation text"/>
    <w:basedOn w:val="Normal"/>
    <w:link w:val="CommentTextChar"/>
    <w:uiPriority w:val="99"/>
    <w:unhideWhenUsed/>
    <w:rsid w:val="005512BC"/>
    <w:pPr>
      <w:spacing w:after="160" w:line="240" w:lineRule="auto"/>
    </w:pPr>
    <w:rPr>
      <w:sz w:val="20"/>
      <w:szCs w:val="20"/>
    </w:rPr>
  </w:style>
  <w:style w:type="character" w:customStyle="1" w:styleId="CommentTextChar">
    <w:name w:val="Comment Text Char"/>
    <w:basedOn w:val="DefaultParagraphFont"/>
    <w:link w:val="CommentText"/>
    <w:uiPriority w:val="99"/>
    <w:rsid w:val="005512BC"/>
    <w:rPr>
      <w:sz w:val="20"/>
      <w:szCs w:val="20"/>
    </w:rPr>
  </w:style>
  <w:style w:type="paragraph" w:styleId="List">
    <w:name w:val="List"/>
    <w:basedOn w:val="Normal"/>
    <w:uiPriority w:val="99"/>
    <w:unhideWhenUsed/>
    <w:rsid w:val="005512BC"/>
    <w:pPr>
      <w:spacing w:after="160" w:line="259" w:lineRule="auto"/>
      <w:ind w:left="283" w:hanging="283"/>
      <w:contextualSpacing/>
    </w:pPr>
  </w:style>
  <w:style w:type="paragraph" w:styleId="BodyText">
    <w:name w:val="Body Text"/>
    <w:basedOn w:val="Normal"/>
    <w:link w:val="BodyTextChar"/>
    <w:uiPriority w:val="99"/>
    <w:unhideWhenUsed/>
    <w:rsid w:val="005512BC"/>
    <w:pPr>
      <w:spacing w:line="259" w:lineRule="auto"/>
    </w:pPr>
  </w:style>
  <w:style w:type="character" w:customStyle="1" w:styleId="BodyTextChar">
    <w:name w:val="Body Text Char"/>
    <w:basedOn w:val="DefaultParagraphFont"/>
    <w:link w:val="BodyText"/>
    <w:uiPriority w:val="99"/>
    <w:rsid w:val="005512BC"/>
  </w:style>
  <w:style w:type="paragraph" w:styleId="EndnoteText">
    <w:name w:val="endnote text"/>
    <w:basedOn w:val="Normal"/>
    <w:link w:val="EndnoteTextChar"/>
    <w:uiPriority w:val="99"/>
    <w:semiHidden/>
    <w:unhideWhenUsed/>
    <w:rsid w:val="005512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512BC"/>
    <w:rPr>
      <w:sz w:val="20"/>
      <w:szCs w:val="20"/>
    </w:rPr>
  </w:style>
  <w:style w:type="character" w:styleId="EndnoteReference">
    <w:name w:val="endnote reference"/>
    <w:basedOn w:val="DefaultParagraphFont"/>
    <w:uiPriority w:val="99"/>
    <w:semiHidden/>
    <w:unhideWhenUsed/>
    <w:rsid w:val="005512BC"/>
    <w:rPr>
      <w:vertAlign w:val="superscript"/>
    </w:rPr>
  </w:style>
  <w:style w:type="character" w:styleId="CommentReference">
    <w:name w:val="annotation reference"/>
    <w:basedOn w:val="DefaultParagraphFont"/>
    <w:uiPriority w:val="99"/>
    <w:semiHidden/>
    <w:unhideWhenUsed/>
    <w:rsid w:val="0002199D"/>
    <w:rPr>
      <w:sz w:val="16"/>
      <w:szCs w:val="16"/>
    </w:rPr>
  </w:style>
  <w:style w:type="paragraph" w:styleId="CommentSubject">
    <w:name w:val="annotation subject"/>
    <w:basedOn w:val="CommentText"/>
    <w:next w:val="CommentText"/>
    <w:link w:val="CommentSubjectChar"/>
    <w:uiPriority w:val="99"/>
    <w:semiHidden/>
    <w:unhideWhenUsed/>
    <w:rsid w:val="0002199D"/>
    <w:pPr>
      <w:spacing w:after="120"/>
    </w:pPr>
    <w:rPr>
      <w:b/>
      <w:bCs/>
    </w:rPr>
  </w:style>
  <w:style w:type="character" w:customStyle="1" w:styleId="CommentSubjectChar">
    <w:name w:val="Comment Subject Char"/>
    <w:basedOn w:val="CommentTextChar"/>
    <w:link w:val="CommentSubject"/>
    <w:uiPriority w:val="99"/>
    <w:semiHidden/>
    <w:rsid w:val="0002199D"/>
    <w:rPr>
      <w:b/>
      <w:bCs/>
      <w:sz w:val="20"/>
      <w:szCs w:val="20"/>
    </w:rPr>
  </w:style>
  <w:style w:type="paragraph" w:styleId="BalloonText">
    <w:name w:val="Balloon Text"/>
    <w:basedOn w:val="Normal"/>
    <w:link w:val="BalloonTextChar"/>
    <w:uiPriority w:val="99"/>
    <w:semiHidden/>
    <w:unhideWhenUsed/>
    <w:rsid w:val="000219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99D"/>
    <w:rPr>
      <w:rFonts w:ascii="Segoe UI" w:hAnsi="Segoe UI" w:cs="Segoe UI"/>
      <w:sz w:val="18"/>
      <w:szCs w:val="18"/>
    </w:rPr>
  </w:style>
  <w:style w:type="character" w:customStyle="1" w:styleId="Heading5Char">
    <w:name w:val="Heading 5 Char"/>
    <w:basedOn w:val="DefaultParagraphFont"/>
    <w:link w:val="Heading5"/>
    <w:uiPriority w:val="9"/>
    <w:semiHidden/>
    <w:rsid w:val="005569E0"/>
    <w:rPr>
      <w:rFonts w:asciiTheme="majorHAnsi" w:eastAsiaTheme="majorEastAsia" w:hAnsiTheme="majorHAnsi" w:cstheme="majorBidi"/>
      <w:color w:val="2F5496" w:themeColor="accent1" w:themeShade="BF"/>
    </w:rPr>
  </w:style>
  <w:style w:type="character" w:customStyle="1" w:styleId="Heading3Char">
    <w:name w:val="Heading 3 Char"/>
    <w:basedOn w:val="DefaultParagraphFont"/>
    <w:link w:val="Heading3"/>
    <w:uiPriority w:val="9"/>
    <w:rsid w:val="005878BF"/>
    <w:rPr>
      <w:rFonts w:eastAsiaTheme="majorEastAsia" w:cstheme="majorBidi"/>
      <w:b/>
      <w:color w:val="0D0D0D" w:themeColor="text1" w:themeTint="F2"/>
      <w:szCs w:val="24"/>
    </w:rPr>
  </w:style>
  <w:style w:type="character" w:styleId="Hyperlink">
    <w:name w:val="Hyperlink"/>
    <w:basedOn w:val="DefaultParagraphFont"/>
    <w:uiPriority w:val="99"/>
    <w:unhideWhenUsed/>
    <w:rsid w:val="005878BF"/>
    <w:rPr>
      <w:color w:val="0563C1" w:themeColor="hyperlink"/>
      <w:u w:val="single"/>
    </w:rPr>
  </w:style>
  <w:style w:type="character" w:styleId="UnresolvedMention">
    <w:name w:val="Unresolved Mention"/>
    <w:basedOn w:val="DefaultParagraphFont"/>
    <w:uiPriority w:val="99"/>
    <w:semiHidden/>
    <w:unhideWhenUsed/>
    <w:rsid w:val="005878BF"/>
    <w:rPr>
      <w:color w:val="605E5C"/>
      <w:shd w:val="clear" w:color="auto" w:fill="E1DFDD"/>
    </w:rPr>
  </w:style>
  <w:style w:type="paragraph" w:customStyle="1" w:styleId="H1Subheading">
    <w:name w:val="H1 Subheading"/>
    <w:basedOn w:val="Heading1"/>
    <w:uiPriority w:val="10"/>
    <w:qFormat/>
    <w:rsid w:val="005878BF"/>
    <w:pPr>
      <w:spacing w:before="0"/>
    </w:pPr>
    <w:rPr>
      <w:caps/>
      <w:color w:val="404040" w:themeColor="text1" w:themeTint="BF"/>
      <w:sz w:val="32"/>
    </w:rPr>
  </w:style>
  <w:style w:type="paragraph" w:customStyle="1" w:styleId="TableIndex">
    <w:name w:val="Table Index"/>
    <w:basedOn w:val="Normal"/>
    <w:uiPriority w:val="4"/>
    <w:qFormat/>
    <w:rsid w:val="00B27E7E"/>
    <w:pPr>
      <w:widowControl w:val="0"/>
      <w:spacing w:line="240" w:lineRule="auto"/>
      <w:jc w:val="left"/>
    </w:pPr>
    <w:rPr>
      <w:b/>
      <w:bCs/>
      <w:color w:val="70AD47" w:themeColor="accent6"/>
      <w:sz w:val="20"/>
      <w:szCs w:val="20"/>
    </w:rPr>
  </w:style>
  <w:style w:type="paragraph" w:customStyle="1" w:styleId="TableList">
    <w:name w:val="Table List"/>
    <w:basedOn w:val="ListParagraph"/>
    <w:uiPriority w:val="4"/>
    <w:qFormat/>
    <w:rsid w:val="00265AA4"/>
    <w:pPr>
      <w:keepLines/>
      <w:widowControl w:val="0"/>
      <w:numPr>
        <w:numId w:val="34"/>
      </w:numPr>
      <w:spacing w:before="0" w:after="120" w:line="240" w:lineRule="auto"/>
      <w:jc w:val="left"/>
    </w:pPr>
    <w:rPr>
      <w:rFonts w:ascii="Calibri" w:eastAsia="Calibri" w:hAnsi="Calibri" w:cs="Calibri"/>
      <w:color w:val="000000" w:themeColor="text1"/>
      <w:sz w:val="19"/>
      <w:szCs w:val="19"/>
    </w:rPr>
  </w:style>
  <w:style w:type="paragraph" w:customStyle="1" w:styleId="Footnote">
    <w:name w:val="Footnote"/>
    <w:basedOn w:val="EndnoteText"/>
    <w:uiPriority w:val="14"/>
    <w:qFormat/>
    <w:rsid w:val="007F2C31"/>
    <w:pPr>
      <w:tabs>
        <w:tab w:val="left" w:pos="227"/>
      </w:tabs>
      <w:ind w:left="227" w:hanging="227"/>
    </w:pPr>
    <w:rPr>
      <w:rFonts w:asciiTheme="majorHAnsi"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office@scienceeurop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D080C6B6C3764DBDBE63D9759BD350" ma:contentTypeVersion="12" ma:contentTypeDescription="Create a new document." ma:contentTypeScope="" ma:versionID="da51b6c42e5523715a48a85039cb06ab">
  <xsd:schema xmlns:xsd="http://www.w3.org/2001/XMLSchema" xmlns:xs="http://www.w3.org/2001/XMLSchema" xmlns:p="http://schemas.microsoft.com/office/2006/metadata/properties" xmlns:ns2="79f31281-6e73-4091-abea-bf15e50d3b70" xmlns:ns3="df50260a-9d61-4048-9e2b-bb2690a3013a" targetNamespace="http://schemas.microsoft.com/office/2006/metadata/properties" ma:root="true" ma:fieldsID="dcc1ba7043027fb04a2dd1a6a7a4d0a0" ns2:_="" ns3:_="">
    <xsd:import namespace="79f31281-6e73-4091-abea-bf15e50d3b70"/>
    <xsd:import namespace="df50260a-9d61-4048-9e2b-bb2690a301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f31281-6e73-4091-abea-bf15e50d3b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50260a-9d61-4048-9e2b-bb2690a3013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1767D5-1576-46CB-81D1-5A55FF0FC964}">
  <ds:schemaRefs>
    <ds:schemaRef ds:uri="http://schemas.openxmlformats.org/officeDocument/2006/bibliography"/>
  </ds:schemaRefs>
</ds:datastoreItem>
</file>

<file path=customXml/itemProps2.xml><?xml version="1.0" encoding="utf-8"?>
<ds:datastoreItem xmlns:ds="http://schemas.openxmlformats.org/officeDocument/2006/customXml" ds:itemID="{87BE9F64-AD40-497C-ACF7-A0C603BB2DCD}"/>
</file>

<file path=customXml/itemProps3.xml><?xml version="1.0" encoding="utf-8"?>
<ds:datastoreItem xmlns:ds="http://schemas.openxmlformats.org/officeDocument/2006/customXml" ds:itemID="{3E4296C0-CC1D-4172-A8F7-8C6C63A01A95}"/>
</file>

<file path=customXml/itemProps4.xml><?xml version="1.0" encoding="utf-8"?>
<ds:datastoreItem xmlns:ds="http://schemas.openxmlformats.org/officeDocument/2006/customXml" ds:itemID="{F5130C9C-C49B-4C6D-941F-C17213215116}"/>
</file>

<file path=docProps/app.xml><?xml version="1.0" encoding="utf-8"?>
<Properties xmlns="http://schemas.openxmlformats.org/officeDocument/2006/extended-properties" xmlns:vt="http://schemas.openxmlformats.org/officeDocument/2006/docPropsVTypes">
  <Template>Normal.dotm</Template>
  <TotalTime>0</TotalTime>
  <Pages>9</Pages>
  <Words>2819</Words>
  <Characters>16071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Iwan Groeneveld</dc:creator>
  <cp:keywords/>
  <dc:description/>
  <cp:lastModifiedBy>Iwan Groeneveld</cp:lastModifiedBy>
  <cp:revision>9</cp:revision>
  <dcterms:created xsi:type="dcterms:W3CDTF">2021-06-15T10:02:00Z</dcterms:created>
  <dcterms:modified xsi:type="dcterms:W3CDTF">2021-06-15T11:59:00Z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0x010100E2D080C6B6C3764DBDBE63D9759BD350</vt:lpwstr>
  </property>
  <property fmtid="{D5CDD505-2E9C-101B-9397-08002B2CF9AE}" pid="3" name="Order">
    <vt:r8>7958800</vt:r8>
  </property>
</Properties>
</file>